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362E" w14:textId="77777777" w:rsidR="00790227" w:rsidRDefault="00790227" w:rsidP="00790227">
      <w:pPr>
        <w:rPr>
          <w:rFonts w:cs="Arial"/>
          <w:b/>
          <w:sz w:val="28"/>
          <w:szCs w:val="28"/>
        </w:rPr>
      </w:pPr>
    </w:p>
    <w:p w14:paraId="29E8561C" w14:textId="77777777" w:rsidR="00790227" w:rsidRDefault="00790227" w:rsidP="00CF35BC">
      <w:pPr>
        <w:jc w:val="center"/>
        <w:rPr>
          <w:rFonts w:cs="Arial"/>
          <w:b/>
          <w:sz w:val="28"/>
          <w:szCs w:val="28"/>
        </w:rPr>
      </w:pPr>
    </w:p>
    <w:p w14:paraId="513C2A04" w14:textId="77777777" w:rsidR="005951AE" w:rsidRDefault="005951AE" w:rsidP="005951AE">
      <w:pPr>
        <w:spacing w:after="200" w:line="276" w:lineRule="auto"/>
        <w:rPr>
          <w:rFonts w:cs="Arial"/>
          <w:b/>
          <w:sz w:val="28"/>
          <w:szCs w:val="28"/>
        </w:rPr>
      </w:pPr>
    </w:p>
    <w:p w14:paraId="0C24BDFD" w14:textId="77777777" w:rsidR="005951AE" w:rsidRDefault="005951AE" w:rsidP="005951AE">
      <w:pPr>
        <w:spacing w:after="200" w:line="276" w:lineRule="auto"/>
        <w:rPr>
          <w:rFonts w:cs="Arial"/>
          <w:b/>
          <w:sz w:val="28"/>
          <w:szCs w:val="28"/>
        </w:rPr>
      </w:pPr>
    </w:p>
    <w:p w14:paraId="789940EA" w14:textId="77777777" w:rsidR="005951AE" w:rsidRDefault="005951AE" w:rsidP="005951AE">
      <w:pPr>
        <w:spacing w:after="200" w:line="276" w:lineRule="auto"/>
        <w:rPr>
          <w:rFonts w:cs="Arial"/>
          <w:b/>
          <w:sz w:val="28"/>
          <w:szCs w:val="28"/>
        </w:rPr>
      </w:pPr>
    </w:p>
    <w:p w14:paraId="2A5C3F14" w14:textId="77777777" w:rsidR="00524756" w:rsidRDefault="00524756" w:rsidP="005951AE">
      <w:pPr>
        <w:spacing w:after="200" w:line="276" w:lineRule="auto"/>
        <w:rPr>
          <w:rFonts w:cs="Arial"/>
          <w:b/>
          <w:sz w:val="28"/>
          <w:szCs w:val="28"/>
        </w:rPr>
      </w:pPr>
    </w:p>
    <w:p w14:paraId="2FECB5AA" w14:textId="77777777" w:rsidR="002C5FA0" w:rsidRDefault="005951AE" w:rsidP="002C5FA0">
      <w:pPr>
        <w:spacing w:line="360" w:lineRule="auto"/>
        <w:jc w:val="center"/>
        <w:rPr>
          <w:rFonts w:cs="Arial"/>
          <w:b/>
          <w:sz w:val="28"/>
          <w:szCs w:val="28"/>
        </w:rPr>
      </w:pPr>
      <w:r>
        <w:rPr>
          <w:rFonts w:cs="Arial"/>
          <w:b/>
          <w:sz w:val="28"/>
          <w:szCs w:val="28"/>
        </w:rPr>
        <w:t>L’</w:t>
      </w:r>
      <w:r w:rsidRPr="00CF35BC">
        <w:rPr>
          <w:rFonts w:cs="Arial"/>
          <w:b/>
          <w:sz w:val="28"/>
          <w:szCs w:val="28"/>
        </w:rPr>
        <w:t>ÉVALUATION ARCHIVISTIQUE</w:t>
      </w:r>
      <w:r w:rsidR="00355CDB">
        <w:rPr>
          <w:rFonts w:cs="Arial"/>
          <w:b/>
          <w:sz w:val="28"/>
          <w:szCs w:val="28"/>
        </w:rPr>
        <w:t> </w:t>
      </w:r>
      <w:r w:rsidR="002C5FA0">
        <w:rPr>
          <w:rFonts w:cs="Arial"/>
          <w:b/>
          <w:sz w:val="28"/>
          <w:szCs w:val="28"/>
        </w:rPr>
        <w:t>À</w:t>
      </w:r>
      <w:r w:rsidR="005B3D14">
        <w:rPr>
          <w:rFonts w:cs="Arial"/>
          <w:b/>
          <w:sz w:val="28"/>
          <w:szCs w:val="28"/>
        </w:rPr>
        <w:br/>
      </w:r>
      <w:r w:rsidR="002C5FA0">
        <w:rPr>
          <w:rFonts w:cs="Arial"/>
          <w:b/>
          <w:sz w:val="28"/>
          <w:szCs w:val="28"/>
        </w:rPr>
        <w:t xml:space="preserve">BIBLIOTHÈQUE ET ARCHIVES NATIONALES </w:t>
      </w:r>
    </w:p>
    <w:p w14:paraId="2701F49B" w14:textId="77777777" w:rsidR="005951AE" w:rsidRDefault="002C5FA0" w:rsidP="002C5FA0">
      <w:pPr>
        <w:spacing w:line="360" w:lineRule="auto"/>
        <w:jc w:val="center"/>
        <w:rPr>
          <w:rFonts w:cs="Arial"/>
          <w:b/>
          <w:sz w:val="28"/>
          <w:szCs w:val="28"/>
        </w:rPr>
      </w:pPr>
      <w:r>
        <w:rPr>
          <w:rFonts w:cs="Arial"/>
          <w:b/>
          <w:sz w:val="28"/>
          <w:szCs w:val="28"/>
        </w:rPr>
        <w:t xml:space="preserve">DU QUÉBEC (BANQ) </w:t>
      </w:r>
      <w:r w:rsidR="005951AE" w:rsidRPr="00CF35BC">
        <w:rPr>
          <w:rFonts w:cs="Arial"/>
          <w:b/>
          <w:sz w:val="28"/>
          <w:szCs w:val="28"/>
        </w:rPr>
        <w:t xml:space="preserve">: </w:t>
      </w:r>
      <w:r w:rsidR="005951AE">
        <w:rPr>
          <w:rFonts w:cs="Arial"/>
          <w:b/>
          <w:sz w:val="28"/>
          <w:szCs w:val="28"/>
        </w:rPr>
        <w:br/>
      </w:r>
      <w:r w:rsidR="005951AE" w:rsidRPr="00CF35BC">
        <w:rPr>
          <w:rFonts w:cs="Arial"/>
          <w:b/>
          <w:sz w:val="28"/>
          <w:szCs w:val="28"/>
        </w:rPr>
        <w:t>APPROCHE ET</w:t>
      </w:r>
      <w:r w:rsidR="005951AE">
        <w:rPr>
          <w:rFonts w:cs="Arial"/>
          <w:b/>
          <w:sz w:val="28"/>
          <w:szCs w:val="28"/>
        </w:rPr>
        <w:t xml:space="preserve"> </w:t>
      </w:r>
      <w:r w:rsidR="005951AE" w:rsidRPr="00CF35BC">
        <w:rPr>
          <w:rFonts w:cs="Arial"/>
          <w:b/>
          <w:sz w:val="28"/>
          <w:szCs w:val="28"/>
        </w:rPr>
        <w:t>CADRE CONCEPTUEL</w:t>
      </w:r>
    </w:p>
    <w:p w14:paraId="11119A7B" w14:textId="77777777" w:rsidR="005951AE" w:rsidRDefault="005951AE" w:rsidP="002C5FA0">
      <w:pPr>
        <w:spacing w:after="200" w:line="360" w:lineRule="auto"/>
        <w:jc w:val="center"/>
        <w:rPr>
          <w:rFonts w:cs="Arial"/>
          <w:b/>
          <w:sz w:val="28"/>
          <w:szCs w:val="28"/>
        </w:rPr>
      </w:pPr>
    </w:p>
    <w:p w14:paraId="6B600EB0" w14:textId="77777777" w:rsidR="005951AE" w:rsidRDefault="005951AE" w:rsidP="005951AE">
      <w:pPr>
        <w:spacing w:after="200" w:line="276" w:lineRule="auto"/>
        <w:jc w:val="center"/>
        <w:rPr>
          <w:rFonts w:cs="Arial"/>
          <w:b/>
          <w:sz w:val="28"/>
          <w:szCs w:val="28"/>
        </w:rPr>
      </w:pPr>
    </w:p>
    <w:p w14:paraId="5F206401" w14:textId="77777777" w:rsidR="005951AE" w:rsidRDefault="005951AE" w:rsidP="005951AE">
      <w:pPr>
        <w:spacing w:after="200" w:line="276" w:lineRule="auto"/>
        <w:jc w:val="center"/>
        <w:rPr>
          <w:rFonts w:cs="Arial"/>
          <w:b/>
          <w:sz w:val="28"/>
          <w:szCs w:val="28"/>
        </w:rPr>
      </w:pPr>
    </w:p>
    <w:p w14:paraId="78A9741E" w14:textId="77777777" w:rsidR="00524756" w:rsidRDefault="00524756" w:rsidP="005951AE">
      <w:pPr>
        <w:spacing w:after="200" w:line="276" w:lineRule="auto"/>
        <w:jc w:val="center"/>
        <w:rPr>
          <w:rFonts w:cs="Arial"/>
          <w:b/>
          <w:sz w:val="28"/>
          <w:szCs w:val="28"/>
        </w:rPr>
      </w:pPr>
    </w:p>
    <w:p w14:paraId="17D8A979" w14:textId="77777777" w:rsidR="00524756" w:rsidRDefault="00524756" w:rsidP="005951AE">
      <w:pPr>
        <w:spacing w:after="200" w:line="276" w:lineRule="auto"/>
        <w:jc w:val="center"/>
        <w:rPr>
          <w:rFonts w:cs="Arial"/>
          <w:b/>
          <w:sz w:val="28"/>
          <w:szCs w:val="28"/>
        </w:rPr>
      </w:pPr>
    </w:p>
    <w:p w14:paraId="6DEA431F" w14:textId="77777777" w:rsidR="002D6B92" w:rsidRDefault="002D6B92" w:rsidP="005951AE">
      <w:pPr>
        <w:spacing w:after="200" w:line="276" w:lineRule="auto"/>
        <w:jc w:val="center"/>
        <w:rPr>
          <w:rFonts w:cs="Arial"/>
          <w:b/>
          <w:sz w:val="28"/>
          <w:szCs w:val="28"/>
        </w:rPr>
      </w:pPr>
    </w:p>
    <w:p w14:paraId="4F1DF6FE" w14:textId="77777777" w:rsidR="002D6B92" w:rsidRDefault="002D6B92" w:rsidP="005951AE">
      <w:pPr>
        <w:spacing w:after="200" w:line="276" w:lineRule="auto"/>
        <w:jc w:val="center"/>
        <w:rPr>
          <w:rFonts w:cs="Arial"/>
          <w:b/>
          <w:sz w:val="28"/>
          <w:szCs w:val="28"/>
        </w:rPr>
      </w:pPr>
    </w:p>
    <w:p w14:paraId="4B995C7E" w14:textId="77777777" w:rsidR="005B3D14" w:rsidRDefault="005B3D14" w:rsidP="005951AE">
      <w:pPr>
        <w:spacing w:line="276" w:lineRule="auto"/>
        <w:jc w:val="center"/>
        <w:rPr>
          <w:rFonts w:cs="Arial"/>
          <w:b/>
          <w:sz w:val="28"/>
          <w:szCs w:val="28"/>
        </w:rPr>
      </w:pPr>
    </w:p>
    <w:p w14:paraId="557E2F08" w14:textId="77777777" w:rsidR="005B3D14" w:rsidRDefault="005B3D14" w:rsidP="005951AE">
      <w:pPr>
        <w:spacing w:line="276" w:lineRule="auto"/>
        <w:jc w:val="center"/>
        <w:rPr>
          <w:rFonts w:cs="Arial"/>
          <w:b/>
          <w:sz w:val="28"/>
          <w:szCs w:val="28"/>
        </w:rPr>
      </w:pPr>
    </w:p>
    <w:p w14:paraId="64DF16E7" w14:textId="77777777" w:rsidR="005951AE" w:rsidRDefault="005951AE" w:rsidP="005951AE">
      <w:pPr>
        <w:spacing w:line="276" w:lineRule="auto"/>
        <w:jc w:val="center"/>
        <w:rPr>
          <w:rFonts w:cs="Arial"/>
          <w:b/>
          <w:sz w:val="28"/>
          <w:szCs w:val="28"/>
        </w:rPr>
      </w:pPr>
      <w:r>
        <w:rPr>
          <w:rFonts w:cs="Arial"/>
          <w:b/>
          <w:sz w:val="28"/>
          <w:szCs w:val="28"/>
        </w:rPr>
        <w:t>Direction générale des Archives nationales</w:t>
      </w:r>
    </w:p>
    <w:p w14:paraId="5D7E8351" w14:textId="77777777" w:rsidR="00524756" w:rsidRDefault="00524756" w:rsidP="002D6B92">
      <w:pPr>
        <w:spacing w:after="200" w:line="276" w:lineRule="auto"/>
        <w:jc w:val="center"/>
        <w:rPr>
          <w:rFonts w:cs="Arial"/>
          <w:b/>
          <w:sz w:val="28"/>
          <w:szCs w:val="28"/>
        </w:rPr>
      </w:pPr>
    </w:p>
    <w:p w14:paraId="5980ADBD" w14:textId="77777777" w:rsidR="005B3D14" w:rsidRDefault="005B3D14" w:rsidP="002D6B92">
      <w:pPr>
        <w:spacing w:after="200" w:line="276" w:lineRule="auto"/>
        <w:jc w:val="center"/>
        <w:rPr>
          <w:rFonts w:cs="Arial"/>
          <w:b/>
          <w:sz w:val="28"/>
          <w:szCs w:val="28"/>
        </w:rPr>
      </w:pPr>
    </w:p>
    <w:p w14:paraId="38961A68" w14:textId="77777777" w:rsidR="005D4F0A" w:rsidRDefault="005951AE" w:rsidP="002D6B92">
      <w:pPr>
        <w:spacing w:after="200" w:line="276" w:lineRule="auto"/>
        <w:jc w:val="center"/>
        <w:rPr>
          <w:rFonts w:cs="Arial"/>
          <w:b/>
          <w:sz w:val="28"/>
          <w:szCs w:val="28"/>
        </w:rPr>
        <w:sectPr w:rsidR="005D4F0A" w:rsidSect="005D4F0A">
          <w:headerReference w:type="default" r:id="rId8"/>
          <w:pgSz w:w="12240" w:h="15840"/>
          <w:pgMar w:top="1350" w:right="1800" w:bottom="1440" w:left="1800" w:header="450" w:footer="708" w:gutter="0"/>
          <w:cols w:space="708"/>
          <w:docGrid w:linePitch="360"/>
        </w:sectPr>
      </w:pPr>
      <w:r>
        <w:rPr>
          <w:rFonts w:cs="Arial"/>
          <w:b/>
          <w:sz w:val="28"/>
          <w:szCs w:val="28"/>
        </w:rPr>
        <w:t>2019</w:t>
      </w:r>
    </w:p>
    <w:p w14:paraId="717FCD16" w14:textId="77777777" w:rsidR="00B010EA" w:rsidRPr="007C2750" w:rsidRDefault="007C2750" w:rsidP="005951AE">
      <w:pPr>
        <w:spacing w:after="200" w:line="276" w:lineRule="auto"/>
        <w:rPr>
          <w:rFonts w:eastAsia="Times New Roman" w:cs="Arial"/>
          <w:b/>
          <w:color w:val="000000" w:themeColor="text1"/>
          <w:sz w:val="21"/>
          <w:szCs w:val="21"/>
          <w:lang w:eastAsia="fr-CA"/>
        </w:rPr>
      </w:pPr>
      <w:r w:rsidRPr="007C2750">
        <w:rPr>
          <w:rFonts w:eastAsia="Times New Roman" w:cs="Arial"/>
          <w:b/>
          <w:color w:val="000000" w:themeColor="text1"/>
          <w:sz w:val="21"/>
          <w:szCs w:val="21"/>
          <w:lang w:eastAsia="fr-CA"/>
        </w:rPr>
        <w:lastRenderedPageBreak/>
        <w:t>Présentation</w:t>
      </w:r>
    </w:p>
    <w:p w14:paraId="4EEBC5DE" w14:textId="77777777" w:rsidR="00E2293D" w:rsidRDefault="00305218" w:rsidP="003473D3">
      <w:pPr>
        <w:jc w:val="both"/>
        <w:rPr>
          <w:sz w:val="21"/>
          <w:szCs w:val="21"/>
        </w:rPr>
      </w:pPr>
      <w:r>
        <w:rPr>
          <w:sz w:val="21"/>
          <w:szCs w:val="21"/>
        </w:rPr>
        <w:t xml:space="preserve">L’évaluation est au cœur des activités archivistiques. </w:t>
      </w:r>
      <w:r w:rsidR="008A74E8">
        <w:rPr>
          <w:sz w:val="21"/>
          <w:szCs w:val="21"/>
        </w:rPr>
        <w:t xml:space="preserve">Elle </w:t>
      </w:r>
      <w:r w:rsidR="00790227">
        <w:rPr>
          <w:sz w:val="21"/>
          <w:szCs w:val="21"/>
        </w:rPr>
        <w:t xml:space="preserve">consiste essentiellement </w:t>
      </w:r>
      <w:r w:rsidR="008A74E8">
        <w:rPr>
          <w:sz w:val="21"/>
          <w:szCs w:val="21"/>
        </w:rPr>
        <w:t>à</w:t>
      </w:r>
      <w:r w:rsidR="00790227">
        <w:rPr>
          <w:sz w:val="21"/>
          <w:szCs w:val="21"/>
        </w:rPr>
        <w:t xml:space="preserve"> juger et à décider </w:t>
      </w:r>
      <w:r w:rsidR="003473D3">
        <w:rPr>
          <w:sz w:val="21"/>
          <w:szCs w:val="21"/>
        </w:rPr>
        <w:t xml:space="preserve">de la conservation </w:t>
      </w:r>
      <w:r w:rsidR="008A74E8">
        <w:rPr>
          <w:sz w:val="21"/>
          <w:szCs w:val="21"/>
        </w:rPr>
        <w:t xml:space="preserve">permanente </w:t>
      </w:r>
      <w:r w:rsidR="003473D3">
        <w:rPr>
          <w:sz w:val="21"/>
          <w:szCs w:val="21"/>
        </w:rPr>
        <w:t>ou de l</w:t>
      </w:r>
      <w:r w:rsidR="008A74E8">
        <w:rPr>
          <w:sz w:val="21"/>
          <w:szCs w:val="21"/>
        </w:rPr>
        <w:t>’élimination des documents et constitue une fonction déterminante quant à la constitution et à la gestion du patrimoine documentaire</w:t>
      </w:r>
      <w:r w:rsidR="003473D3">
        <w:rPr>
          <w:sz w:val="21"/>
          <w:szCs w:val="21"/>
        </w:rPr>
        <w:t xml:space="preserve">. Le caractère irrévocable </w:t>
      </w:r>
      <w:r w:rsidR="00FD3ED2">
        <w:rPr>
          <w:sz w:val="21"/>
          <w:szCs w:val="21"/>
        </w:rPr>
        <w:t xml:space="preserve">et </w:t>
      </w:r>
      <w:r w:rsidR="00C5371F">
        <w:rPr>
          <w:sz w:val="21"/>
          <w:szCs w:val="21"/>
        </w:rPr>
        <w:t xml:space="preserve">potentiellement </w:t>
      </w:r>
      <w:r w:rsidR="00FD3ED2">
        <w:rPr>
          <w:sz w:val="21"/>
          <w:szCs w:val="21"/>
        </w:rPr>
        <w:t xml:space="preserve">subjectif </w:t>
      </w:r>
      <w:r w:rsidR="003473D3">
        <w:rPr>
          <w:sz w:val="21"/>
          <w:szCs w:val="21"/>
        </w:rPr>
        <w:t xml:space="preserve">de certaines décisions </w:t>
      </w:r>
      <w:r w:rsidR="00EF5CC1">
        <w:rPr>
          <w:sz w:val="21"/>
          <w:szCs w:val="21"/>
        </w:rPr>
        <w:t xml:space="preserve">est </w:t>
      </w:r>
      <w:r w:rsidR="003473D3">
        <w:rPr>
          <w:sz w:val="21"/>
          <w:szCs w:val="21"/>
        </w:rPr>
        <w:t>lourd de conséquences et</w:t>
      </w:r>
      <w:r w:rsidR="00E2293D">
        <w:rPr>
          <w:sz w:val="21"/>
          <w:szCs w:val="21"/>
        </w:rPr>
        <w:t xml:space="preserve"> force les institutions de mémoire </w:t>
      </w:r>
      <w:r w:rsidR="009A28E1">
        <w:rPr>
          <w:sz w:val="21"/>
          <w:szCs w:val="21"/>
        </w:rPr>
        <w:t>à</w:t>
      </w:r>
      <w:r w:rsidR="00E2293D">
        <w:rPr>
          <w:sz w:val="21"/>
          <w:szCs w:val="21"/>
        </w:rPr>
        <w:t xml:space="preserve"> se doter d’un cadre et d’outils guidant leurs employés </w:t>
      </w:r>
      <w:r w:rsidR="008E56C5">
        <w:rPr>
          <w:sz w:val="21"/>
          <w:szCs w:val="21"/>
        </w:rPr>
        <w:t xml:space="preserve">dans leurs </w:t>
      </w:r>
      <w:r w:rsidR="00680A31">
        <w:rPr>
          <w:sz w:val="21"/>
          <w:szCs w:val="21"/>
        </w:rPr>
        <w:t>activités</w:t>
      </w:r>
      <w:r w:rsidR="008E56C5">
        <w:rPr>
          <w:sz w:val="21"/>
          <w:szCs w:val="21"/>
        </w:rPr>
        <w:t xml:space="preserve"> d’évaluation</w:t>
      </w:r>
      <w:r w:rsidR="00C5371F">
        <w:rPr>
          <w:sz w:val="21"/>
          <w:szCs w:val="21"/>
        </w:rPr>
        <w:t xml:space="preserve">. Carol Couture évoque l’importance fondamentale de l’évaluation sur les </w:t>
      </w:r>
      <w:r w:rsidR="00467CF2">
        <w:rPr>
          <w:sz w:val="21"/>
          <w:szCs w:val="21"/>
        </w:rPr>
        <w:t xml:space="preserve">autres </w:t>
      </w:r>
      <w:r w:rsidR="00C5371F">
        <w:rPr>
          <w:sz w:val="21"/>
          <w:szCs w:val="21"/>
        </w:rPr>
        <w:t xml:space="preserve">activités archivistiques en ces termes : </w:t>
      </w:r>
      <w:r w:rsidR="00EF5CC1">
        <w:rPr>
          <w:sz w:val="21"/>
          <w:szCs w:val="21"/>
        </w:rPr>
        <w:t>« </w:t>
      </w:r>
      <w:r w:rsidR="008E56C5">
        <w:rPr>
          <w:sz w:val="21"/>
          <w:szCs w:val="21"/>
        </w:rPr>
        <w:t>la création, l’acquisition, la classificatio</w:t>
      </w:r>
      <w:r w:rsidR="00FD3ED2">
        <w:rPr>
          <w:sz w:val="21"/>
          <w:szCs w:val="21"/>
        </w:rPr>
        <w:t xml:space="preserve">n, la description, la diffusion </w:t>
      </w:r>
      <w:r w:rsidR="008E56C5">
        <w:rPr>
          <w:sz w:val="21"/>
          <w:szCs w:val="21"/>
        </w:rPr>
        <w:t>et la préservation des archives sont toutes redevables aux décisions prises lors de l’évaluation de ces dernières. »</w:t>
      </w:r>
      <w:r w:rsidR="008E56C5">
        <w:rPr>
          <w:rStyle w:val="Appelnotedebasdep"/>
          <w:sz w:val="21"/>
          <w:szCs w:val="21"/>
        </w:rPr>
        <w:footnoteReference w:id="1"/>
      </w:r>
    </w:p>
    <w:p w14:paraId="4612BFAC" w14:textId="77777777" w:rsidR="008E56C5" w:rsidRDefault="008E56C5" w:rsidP="003473D3">
      <w:pPr>
        <w:jc w:val="both"/>
        <w:rPr>
          <w:sz w:val="21"/>
          <w:szCs w:val="21"/>
        </w:rPr>
      </w:pPr>
    </w:p>
    <w:p w14:paraId="58500425" w14:textId="77777777" w:rsidR="00744D19" w:rsidRPr="00CF35BC" w:rsidRDefault="00C304B9" w:rsidP="003473D3">
      <w:pPr>
        <w:jc w:val="both"/>
        <w:rPr>
          <w:sz w:val="21"/>
          <w:szCs w:val="21"/>
        </w:rPr>
      </w:pPr>
      <w:r w:rsidRPr="00CF35BC">
        <w:rPr>
          <w:sz w:val="21"/>
          <w:szCs w:val="21"/>
        </w:rPr>
        <w:t>L’ob</w:t>
      </w:r>
      <w:r w:rsidR="00CB20C8" w:rsidRPr="00CF35BC">
        <w:rPr>
          <w:sz w:val="21"/>
          <w:szCs w:val="21"/>
        </w:rPr>
        <w:t xml:space="preserve">jectif de ce document est d’énoncer l’approche retenue par BAnQ en matière d’évaluation </w:t>
      </w:r>
      <w:r w:rsidR="006C67B2" w:rsidRPr="00CF35BC">
        <w:rPr>
          <w:sz w:val="21"/>
          <w:szCs w:val="21"/>
        </w:rPr>
        <w:t>archivistique</w:t>
      </w:r>
      <w:r w:rsidR="00CB20C8" w:rsidRPr="00CF35BC">
        <w:rPr>
          <w:sz w:val="21"/>
          <w:szCs w:val="21"/>
        </w:rPr>
        <w:t xml:space="preserve"> et de </w:t>
      </w:r>
      <w:r w:rsidR="0083061A" w:rsidRPr="00CF35BC">
        <w:rPr>
          <w:sz w:val="21"/>
          <w:szCs w:val="21"/>
        </w:rPr>
        <w:t xml:space="preserve">doter </w:t>
      </w:r>
      <w:r w:rsidR="00CB20C8" w:rsidRPr="00CF35BC">
        <w:rPr>
          <w:sz w:val="21"/>
          <w:szCs w:val="21"/>
        </w:rPr>
        <w:t xml:space="preserve">son </w:t>
      </w:r>
      <w:r w:rsidR="0083061A" w:rsidRPr="00CF35BC">
        <w:rPr>
          <w:sz w:val="21"/>
          <w:szCs w:val="21"/>
        </w:rPr>
        <w:t>personnel d</w:t>
      </w:r>
      <w:r w:rsidR="00CB20C8" w:rsidRPr="00CF35BC">
        <w:rPr>
          <w:sz w:val="21"/>
          <w:szCs w:val="21"/>
        </w:rPr>
        <w:t xml:space="preserve">’un cadre balisant ses actions. </w:t>
      </w:r>
      <w:r w:rsidR="0083061A" w:rsidRPr="00CF35BC">
        <w:rPr>
          <w:sz w:val="21"/>
          <w:szCs w:val="21"/>
        </w:rPr>
        <w:t xml:space="preserve">Il </w:t>
      </w:r>
      <w:r w:rsidR="00744D19" w:rsidRPr="00CF35BC">
        <w:rPr>
          <w:sz w:val="21"/>
          <w:szCs w:val="21"/>
        </w:rPr>
        <w:t xml:space="preserve">encadre les pratiques de tri </w:t>
      </w:r>
      <w:r w:rsidR="00124CF8" w:rsidRPr="00CF35BC">
        <w:rPr>
          <w:sz w:val="21"/>
          <w:szCs w:val="21"/>
        </w:rPr>
        <w:t>en vigueur à BAnQ exposées</w:t>
      </w:r>
      <w:r w:rsidR="00744D19" w:rsidRPr="00CF35BC">
        <w:rPr>
          <w:sz w:val="21"/>
          <w:szCs w:val="21"/>
        </w:rPr>
        <w:t xml:space="preserve"> dans le document </w:t>
      </w:r>
      <w:r w:rsidR="00744D19" w:rsidRPr="00CF35BC">
        <w:rPr>
          <w:i/>
          <w:sz w:val="21"/>
          <w:szCs w:val="21"/>
        </w:rPr>
        <w:t xml:space="preserve">Normes et procédures archivistiques – Chapitre sur le tri d'archives </w:t>
      </w:r>
      <w:r w:rsidR="00744D19" w:rsidRPr="00CF35BC">
        <w:rPr>
          <w:sz w:val="21"/>
          <w:szCs w:val="21"/>
        </w:rPr>
        <w:t>publié en 2005</w:t>
      </w:r>
      <w:r w:rsidR="00744D19" w:rsidRPr="00CF35BC">
        <w:rPr>
          <w:rStyle w:val="Appelnotedebasdep"/>
          <w:sz w:val="21"/>
          <w:szCs w:val="21"/>
        </w:rPr>
        <w:footnoteReference w:id="2"/>
      </w:r>
      <w:r w:rsidR="00744D19" w:rsidRPr="00CF35BC">
        <w:rPr>
          <w:sz w:val="21"/>
          <w:szCs w:val="21"/>
        </w:rPr>
        <w:t xml:space="preserve">. </w:t>
      </w:r>
    </w:p>
    <w:p w14:paraId="10BBF768" w14:textId="77777777" w:rsidR="00B010EA" w:rsidRPr="00CF35BC" w:rsidRDefault="00B010EA" w:rsidP="00CF35BC">
      <w:pPr>
        <w:spacing w:before="480"/>
        <w:jc w:val="both"/>
        <w:rPr>
          <w:b/>
          <w:sz w:val="21"/>
          <w:szCs w:val="21"/>
        </w:rPr>
      </w:pPr>
      <w:r w:rsidRPr="00CF35BC">
        <w:rPr>
          <w:b/>
          <w:sz w:val="21"/>
          <w:szCs w:val="21"/>
        </w:rPr>
        <w:t>L’approche</w:t>
      </w:r>
    </w:p>
    <w:p w14:paraId="160EFCD8" w14:textId="77777777" w:rsidR="00B010EA" w:rsidRPr="00CF35BC" w:rsidRDefault="00B010EA" w:rsidP="00B010EA">
      <w:pPr>
        <w:jc w:val="both"/>
        <w:rPr>
          <w:b/>
          <w:sz w:val="21"/>
          <w:szCs w:val="21"/>
        </w:rPr>
      </w:pPr>
    </w:p>
    <w:p w14:paraId="58069673" w14:textId="77777777" w:rsidR="00B010EA" w:rsidRPr="00CF35BC" w:rsidRDefault="00B010EA" w:rsidP="00B010EA">
      <w:pPr>
        <w:spacing w:after="200" w:line="276" w:lineRule="auto"/>
        <w:jc w:val="both"/>
        <w:rPr>
          <w:rFonts w:cs="Arial"/>
          <w:sz w:val="21"/>
          <w:szCs w:val="21"/>
        </w:rPr>
      </w:pPr>
      <w:r w:rsidRPr="00CF35BC">
        <w:rPr>
          <w:rFonts w:cs="Arial"/>
          <w:sz w:val="21"/>
          <w:szCs w:val="21"/>
        </w:rPr>
        <w:t>Pour encadrer ses actions en matière d’évaluation des documents</w:t>
      </w:r>
      <w:r w:rsidR="00513563" w:rsidRPr="00CF35BC">
        <w:rPr>
          <w:rFonts w:cs="Arial"/>
          <w:sz w:val="21"/>
          <w:szCs w:val="21"/>
        </w:rPr>
        <w:t xml:space="preserve"> </w:t>
      </w:r>
      <w:r w:rsidRPr="00CF35BC">
        <w:rPr>
          <w:rFonts w:cs="Arial"/>
          <w:sz w:val="21"/>
          <w:szCs w:val="21"/>
        </w:rPr>
        <w:t>qu’elle acquiert</w:t>
      </w:r>
      <w:r w:rsidR="00AB7195" w:rsidRPr="00CF35BC">
        <w:rPr>
          <w:rFonts w:cs="Arial"/>
          <w:sz w:val="21"/>
          <w:szCs w:val="21"/>
        </w:rPr>
        <w:t xml:space="preserve">, </w:t>
      </w:r>
      <w:r w:rsidRPr="00CF35BC">
        <w:rPr>
          <w:rFonts w:cs="Arial"/>
          <w:sz w:val="21"/>
          <w:szCs w:val="21"/>
        </w:rPr>
        <w:t xml:space="preserve">BAnQ a retenu une approche </w:t>
      </w:r>
      <w:r w:rsidR="002453B2">
        <w:rPr>
          <w:rFonts w:cs="Arial"/>
          <w:sz w:val="21"/>
          <w:szCs w:val="21"/>
        </w:rPr>
        <w:t xml:space="preserve">qui se veut </w:t>
      </w:r>
      <w:proofErr w:type="spellStart"/>
      <w:r w:rsidR="002453B2">
        <w:rPr>
          <w:rFonts w:cs="Arial"/>
          <w:sz w:val="21"/>
          <w:szCs w:val="21"/>
        </w:rPr>
        <w:t>intégrée</w:t>
      </w:r>
      <w:proofErr w:type="spellEnd"/>
      <w:r w:rsidR="002453B2">
        <w:rPr>
          <w:rFonts w:cs="Arial"/>
          <w:sz w:val="21"/>
          <w:szCs w:val="21"/>
        </w:rPr>
        <w:t xml:space="preserve"> et transversale. Celle-ci se démarque par une volonté de l’institution de constituer un corpus archivistique à la fois cohérent et complémentaire susceptible de témoigner au mieu</w:t>
      </w:r>
      <w:r w:rsidR="005544E3">
        <w:rPr>
          <w:rFonts w:cs="Arial"/>
          <w:sz w:val="21"/>
          <w:szCs w:val="21"/>
        </w:rPr>
        <w:t>x</w:t>
      </w:r>
      <w:r w:rsidR="002453B2">
        <w:rPr>
          <w:rFonts w:cs="Arial"/>
          <w:sz w:val="21"/>
          <w:szCs w:val="21"/>
        </w:rPr>
        <w:t xml:space="preserve"> de l’ensemble des activités de la société québécoise. Tout en reconnaissant le caractère distinct des trois principales sources constituant ses fonds et collections d’archives (gouvernementales, judiciaires et civiles, et privées) et les liens qui les unissent, BAnQ a retenu une approche prenant en </w:t>
      </w:r>
      <w:r w:rsidRPr="00CF35BC">
        <w:rPr>
          <w:rFonts w:cs="Arial"/>
          <w:sz w:val="21"/>
          <w:szCs w:val="21"/>
        </w:rPr>
        <w:t xml:space="preserve">considération les éléments suivants : </w:t>
      </w:r>
    </w:p>
    <w:p w14:paraId="0FC6AB86" w14:textId="77777777" w:rsidR="009963F8" w:rsidRPr="00CF35BC" w:rsidRDefault="00B010EA" w:rsidP="00B71A2E">
      <w:pPr>
        <w:numPr>
          <w:ilvl w:val="0"/>
          <w:numId w:val="1"/>
        </w:numPr>
        <w:spacing w:after="200" w:line="276" w:lineRule="auto"/>
        <w:ind w:left="540" w:hanging="540"/>
        <w:contextualSpacing/>
        <w:jc w:val="both"/>
        <w:rPr>
          <w:rFonts w:cs="Arial"/>
          <w:sz w:val="21"/>
          <w:szCs w:val="21"/>
        </w:rPr>
      </w:pPr>
      <w:r w:rsidRPr="00CF35BC">
        <w:rPr>
          <w:rFonts w:cs="Arial"/>
          <w:sz w:val="21"/>
          <w:szCs w:val="21"/>
        </w:rPr>
        <w:t xml:space="preserve">La contribution des créateurs des documents à la société. </w:t>
      </w:r>
    </w:p>
    <w:p w14:paraId="53AEDCD0" w14:textId="77777777" w:rsidR="00B010EA" w:rsidRPr="00CF35BC" w:rsidRDefault="009963F8" w:rsidP="00B71A2E">
      <w:pPr>
        <w:numPr>
          <w:ilvl w:val="0"/>
          <w:numId w:val="1"/>
        </w:numPr>
        <w:spacing w:after="200" w:line="276" w:lineRule="auto"/>
        <w:ind w:left="540" w:hanging="540"/>
        <w:contextualSpacing/>
        <w:jc w:val="both"/>
        <w:rPr>
          <w:rFonts w:cs="Arial"/>
          <w:sz w:val="21"/>
          <w:szCs w:val="21"/>
        </w:rPr>
      </w:pPr>
      <w:r w:rsidRPr="00CF35BC">
        <w:rPr>
          <w:rFonts w:cs="Arial"/>
          <w:sz w:val="21"/>
          <w:szCs w:val="21"/>
        </w:rPr>
        <w:t xml:space="preserve">Le </w:t>
      </w:r>
      <w:r w:rsidR="00B010EA" w:rsidRPr="00CF35BC">
        <w:rPr>
          <w:rFonts w:cs="Arial"/>
          <w:sz w:val="21"/>
          <w:szCs w:val="21"/>
        </w:rPr>
        <w:t xml:space="preserve">contexte de création des </w:t>
      </w:r>
      <w:r w:rsidR="00EB2FE1" w:rsidRPr="00CF35BC">
        <w:rPr>
          <w:rFonts w:cs="Arial"/>
          <w:sz w:val="21"/>
          <w:szCs w:val="21"/>
        </w:rPr>
        <w:t>documents,</w:t>
      </w:r>
      <w:r w:rsidR="00B010EA" w:rsidRPr="00CF35BC">
        <w:rPr>
          <w:rFonts w:cs="Arial"/>
          <w:sz w:val="21"/>
          <w:szCs w:val="21"/>
        </w:rPr>
        <w:t xml:space="preserve"> </w:t>
      </w:r>
      <w:r w:rsidRPr="00CF35BC">
        <w:rPr>
          <w:rFonts w:cs="Arial"/>
          <w:sz w:val="21"/>
          <w:szCs w:val="21"/>
        </w:rPr>
        <w:t xml:space="preserve">dont la compréhension </w:t>
      </w:r>
      <w:r w:rsidR="00B010EA" w:rsidRPr="00CF35BC">
        <w:rPr>
          <w:rFonts w:cs="Arial"/>
          <w:sz w:val="21"/>
          <w:szCs w:val="21"/>
        </w:rPr>
        <w:t xml:space="preserve">permet d’obtenir un portrait global de leur production et d’identifier les créateurs offrant les témoignages les plus représentatifs d’un ou de plusieurs secteurs d’activités, d’événements, de spécificités culturelles ou de périodes qui ont façonné l’histoire du Québec ou </w:t>
      </w:r>
      <w:r w:rsidRPr="00CF35BC">
        <w:rPr>
          <w:rFonts w:cs="Arial"/>
          <w:sz w:val="21"/>
          <w:szCs w:val="21"/>
        </w:rPr>
        <w:t>d’</w:t>
      </w:r>
      <w:r w:rsidR="00B010EA" w:rsidRPr="00CF35BC">
        <w:rPr>
          <w:rFonts w:cs="Arial"/>
          <w:sz w:val="21"/>
          <w:szCs w:val="21"/>
        </w:rPr>
        <w:t xml:space="preserve">une de ses régions. </w:t>
      </w:r>
    </w:p>
    <w:p w14:paraId="765A0D0C" w14:textId="77777777" w:rsidR="00B010EA" w:rsidRPr="00CF35BC" w:rsidRDefault="00B010EA" w:rsidP="00B71A2E">
      <w:pPr>
        <w:numPr>
          <w:ilvl w:val="0"/>
          <w:numId w:val="1"/>
        </w:numPr>
        <w:spacing w:after="200" w:line="276" w:lineRule="auto"/>
        <w:ind w:left="540" w:hanging="540"/>
        <w:contextualSpacing/>
        <w:jc w:val="both"/>
        <w:rPr>
          <w:rFonts w:cs="Arial"/>
          <w:sz w:val="21"/>
          <w:szCs w:val="21"/>
        </w:rPr>
      </w:pPr>
      <w:r w:rsidRPr="00CF35BC">
        <w:rPr>
          <w:rFonts w:cs="Arial"/>
          <w:sz w:val="21"/>
          <w:szCs w:val="21"/>
        </w:rPr>
        <w:t xml:space="preserve">L’étude des documents et </w:t>
      </w:r>
      <w:r w:rsidR="00524756">
        <w:rPr>
          <w:rFonts w:cs="Arial"/>
          <w:sz w:val="21"/>
          <w:szCs w:val="21"/>
        </w:rPr>
        <w:t>de l</w:t>
      </w:r>
      <w:r w:rsidRPr="00CF35BC">
        <w:rPr>
          <w:rFonts w:cs="Arial"/>
          <w:sz w:val="21"/>
          <w:szCs w:val="21"/>
        </w:rPr>
        <w:t xml:space="preserve">eur contenu de manière à en connaitre la nature et </w:t>
      </w:r>
      <w:r w:rsidR="00E91AF6" w:rsidRPr="00CF35BC">
        <w:rPr>
          <w:rFonts w:cs="Arial"/>
          <w:sz w:val="21"/>
          <w:szCs w:val="21"/>
        </w:rPr>
        <w:t>à les situer dans leur contexte de création</w:t>
      </w:r>
      <w:r w:rsidRPr="00CF35BC">
        <w:rPr>
          <w:rFonts w:cs="Arial"/>
          <w:sz w:val="21"/>
          <w:szCs w:val="21"/>
        </w:rPr>
        <w:t xml:space="preserve">. </w:t>
      </w:r>
    </w:p>
    <w:p w14:paraId="77B37E5E" w14:textId="77777777" w:rsidR="00B010EA" w:rsidRPr="00CF35BC" w:rsidRDefault="00E91AF6" w:rsidP="00B71A2E">
      <w:pPr>
        <w:numPr>
          <w:ilvl w:val="0"/>
          <w:numId w:val="1"/>
        </w:numPr>
        <w:spacing w:after="200" w:line="276" w:lineRule="auto"/>
        <w:ind w:left="540" w:hanging="540"/>
        <w:contextualSpacing/>
        <w:jc w:val="both"/>
        <w:rPr>
          <w:rFonts w:cs="Arial"/>
          <w:sz w:val="21"/>
          <w:szCs w:val="21"/>
        </w:rPr>
      </w:pPr>
      <w:r w:rsidRPr="00CF35BC">
        <w:rPr>
          <w:rFonts w:cs="Arial"/>
          <w:sz w:val="21"/>
          <w:szCs w:val="21"/>
        </w:rPr>
        <w:t>Les capacités opérationnelles (</w:t>
      </w:r>
      <w:r w:rsidR="00B010EA" w:rsidRPr="00CF35BC">
        <w:rPr>
          <w:rFonts w:cs="Arial"/>
          <w:sz w:val="21"/>
          <w:szCs w:val="21"/>
        </w:rPr>
        <w:t>ressources humaines</w:t>
      </w:r>
      <w:r w:rsidRPr="00CF35BC">
        <w:rPr>
          <w:rFonts w:cs="Arial"/>
          <w:sz w:val="21"/>
          <w:szCs w:val="21"/>
        </w:rPr>
        <w:t xml:space="preserve">, </w:t>
      </w:r>
      <w:r w:rsidR="00B010EA" w:rsidRPr="00CF35BC">
        <w:rPr>
          <w:rFonts w:cs="Arial"/>
          <w:sz w:val="21"/>
          <w:szCs w:val="21"/>
        </w:rPr>
        <w:t xml:space="preserve">financières </w:t>
      </w:r>
      <w:r w:rsidRPr="00CF35BC">
        <w:rPr>
          <w:rFonts w:cs="Arial"/>
          <w:sz w:val="21"/>
          <w:szCs w:val="21"/>
        </w:rPr>
        <w:t xml:space="preserve">et matérielles) </w:t>
      </w:r>
      <w:r w:rsidR="00B010EA" w:rsidRPr="00CF35BC">
        <w:rPr>
          <w:rFonts w:cs="Arial"/>
          <w:sz w:val="21"/>
          <w:szCs w:val="21"/>
        </w:rPr>
        <w:t>nécessaires au traitement et à la conservation des documents acquis et le contexte organisationnel de BAnQ (cadre légal et réglementaire, politiques et orientations gouvernementales).</w:t>
      </w:r>
    </w:p>
    <w:p w14:paraId="3C03C37A" w14:textId="77777777" w:rsidR="00B010EA" w:rsidRPr="00CF35BC" w:rsidRDefault="00B010EA" w:rsidP="00B010EA">
      <w:pPr>
        <w:spacing w:after="200" w:line="276" w:lineRule="auto"/>
        <w:ind w:left="720"/>
        <w:contextualSpacing/>
        <w:jc w:val="both"/>
        <w:rPr>
          <w:rFonts w:cs="Arial"/>
          <w:sz w:val="21"/>
          <w:szCs w:val="21"/>
        </w:rPr>
      </w:pPr>
    </w:p>
    <w:p w14:paraId="776EE560" w14:textId="77777777" w:rsidR="00B010EA" w:rsidRPr="00CF35BC" w:rsidRDefault="00B010EA" w:rsidP="00B010EA">
      <w:pPr>
        <w:spacing w:after="200" w:line="276" w:lineRule="auto"/>
        <w:jc w:val="both"/>
        <w:rPr>
          <w:rFonts w:cs="Arial"/>
          <w:sz w:val="21"/>
          <w:szCs w:val="21"/>
        </w:rPr>
      </w:pPr>
      <w:r w:rsidRPr="00CF35BC">
        <w:rPr>
          <w:rFonts w:cs="Arial"/>
          <w:sz w:val="21"/>
          <w:szCs w:val="21"/>
        </w:rPr>
        <w:lastRenderedPageBreak/>
        <w:t>Dans un souci de cohérence et d’efficience de ses démarches d’évaluation et de concert avec les partenaires du milieu archivistique, BAnQ conçoit des outils et offre des services facilitant l’uniformisation des pratiques. Les interventions de BAnQ tiennent ainsi compte de la régionalisation de ses services sur le territoire québécois</w:t>
      </w:r>
      <w:r w:rsidR="002453B2">
        <w:rPr>
          <w:rFonts w:cs="Arial"/>
          <w:sz w:val="21"/>
          <w:szCs w:val="21"/>
        </w:rPr>
        <w:t xml:space="preserve">, </w:t>
      </w:r>
      <w:r w:rsidRPr="00CF35BC">
        <w:rPr>
          <w:rFonts w:cs="Arial"/>
          <w:sz w:val="21"/>
          <w:szCs w:val="21"/>
        </w:rPr>
        <w:t>de la diversité et spécifi</w:t>
      </w:r>
      <w:r w:rsidR="002453B2">
        <w:rPr>
          <w:rFonts w:cs="Arial"/>
          <w:sz w:val="21"/>
          <w:szCs w:val="21"/>
        </w:rPr>
        <w:t>cité des sources d’acquisition ainsi que du corpus documentaire publié constitué en vertu du dépôt légal</w:t>
      </w:r>
      <w:r w:rsidR="004A17D6">
        <w:rPr>
          <w:rFonts w:cs="Arial"/>
          <w:sz w:val="21"/>
          <w:szCs w:val="21"/>
        </w:rPr>
        <w:t xml:space="preserve"> qui permet à BAnQ de conserver et de diffuser l’ensemble du patrimoine documentaire québécois publié.</w:t>
      </w:r>
    </w:p>
    <w:p w14:paraId="74628DB5" w14:textId="77777777" w:rsidR="00B010EA" w:rsidRPr="00CF35BC" w:rsidRDefault="00B010EA" w:rsidP="00CF35BC">
      <w:pPr>
        <w:spacing w:before="480"/>
        <w:jc w:val="both"/>
        <w:rPr>
          <w:b/>
          <w:sz w:val="21"/>
          <w:szCs w:val="21"/>
        </w:rPr>
      </w:pPr>
      <w:r w:rsidRPr="00CF35BC">
        <w:rPr>
          <w:b/>
          <w:sz w:val="21"/>
          <w:szCs w:val="21"/>
        </w:rPr>
        <w:t>Le cadre conceptuel</w:t>
      </w:r>
    </w:p>
    <w:p w14:paraId="03E34016" w14:textId="77777777" w:rsidR="00CF35BC" w:rsidRPr="00CF35BC" w:rsidRDefault="00CF35BC" w:rsidP="00B010EA">
      <w:pPr>
        <w:jc w:val="both"/>
        <w:rPr>
          <w:rFonts w:cs="Arial"/>
          <w:sz w:val="21"/>
          <w:szCs w:val="21"/>
        </w:rPr>
      </w:pPr>
    </w:p>
    <w:p w14:paraId="401E2BB0" w14:textId="77777777" w:rsidR="00CD5040" w:rsidRPr="00CF35BC" w:rsidRDefault="00B010EA" w:rsidP="00B010EA">
      <w:pPr>
        <w:jc w:val="both"/>
        <w:rPr>
          <w:rFonts w:cs="Arial"/>
          <w:sz w:val="21"/>
          <w:szCs w:val="21"/>
        </w:rPr>
      </w:pPr>
      <w:r w:rsidRPr="00CF35BC">
        <w:rPr>
          <w:rFonts w:cs="Arial"/>
          <w:sz w:val="21"/>
          <w:szCs w:val="21"/>
        </w:rPr>
        <w:t xml:space="preserve">L’évaluation des archives à BAnQ est régie par un cadre conceptuel conforme aux pratiques archivistiques. Il tient compte des particularités propres caractérisant les archives gouvernementales, judiciaires </w:t>
      </w:r>
      <w:r w:rsidR="00CE7582">
        <w:rPr>
          <w:rFonts w:cs="Arial"/>
          <w:sz w:val="21"/>
          <w:szCs w:val="21"/>
        </w:rPr>
        <w:t xml:space="preserve">et civiles, </w:t>
      </w:r>
      <w:r w:rsidRPr="00CF35BC">
        <w:rPr>
          <w:rFonts w:cs="Arial"/>
          <w:sz w:val="21"/>
          <w:szCs w:val="21"/>
        </w:rPr>
        <w:t>et privées</w:t>
      </w:r>
      <w:r w:rsidR="004A17D6">
        <w:rPr>
          <w:rFonts w:cs="Arial"/>
          <w:sz w:val="21"/>
          <w:szCs w:val="21"/>
        </w:rPr>
        <w:t xml:space="preserve"> </w:t>
      </w:r>
      <w:r w:rsidRPr="00CF35BC">
        <w:rPr>
          <w:rFonts w:cs="Arial"/>
          <w:sz w:val="21"/>
          <w:szCs w:val="21"/>
        </w:rPr>
        <w:t>acquises par BAnQ, de leurs similitudes, ainsi que du contexte organisationnel de l’institution. Ce cadre</w:t>
      </w:r>
      <w:r w:rsidRPr="00CF35BC">
        <w:rPr>
          <w:rFonts w:cs="Arial"/>
          <w:sz w:val="21"/>
          <w:szCs w:val="21"/>
          <w:vertAlign w:val="superscript"/>
        </w:rPr>
        <w:footnoteReference w:id="3"/>
      </w:r>
      <w:r w:rsidRPr="00CF35BC">
        <w:rPr>
          <w:rFonts w:cs="Arial"/>
          <w:sz w:val="21"/>
          <w:szCs w:val="21"/>
        </w:rPr>
        <w:t xml:space="preserve"> se décline en six dimensions</w:t>
      </w:r>
      <w:r w:rsidR="00CF35BC">
        <w:rPr>
          <w:rFonts w:cs="Arial"/>
          <w:sz w:val="21"/>
          <w:szCs w:val="21"/>
        </w:rPr>
        <w:t> :</w:t>
      </w:r>
      <w:r w:rsidRPr="00CF35BC">
        <w:rPr>
          <w:rFonts w:cs="Arial"/>
          <w:sz w:val="21"/>
          <w:szCs w:val="21"/>
        </w:rPr>
        <w:t xml:space="preserve"> </w:t>
      </w:r>
    </w:p>
    <w:p w14:paraId="607ED268" w14:textId="77777777" w:rsidR="00CD5040" w:rsidRPr="00CF35BC" w:rsidRDefault="00CD5040" w:rsidP="00B010EA">
      <w:pPr>
        <w:jc w:val="both"/>
        <w:rPr>
          <w:rFonts w:cs="Arial"/>
          <w:sz w:val="21"/>
          <w:szCs w:val="21"/>
        </w:rPr>
      </w:pPr>
    </w:p>
    <w:p w14:paraId="7C5AC6F4" w14:textId="77777777" w:rsidR="00CD5040" w:rsidRPr="00CF35BC" w:rsidRDefault="00CD5040" w:rsidP="00B71A2E">
      <w:pPr>
        <w:pStyle w:val="Paragraphedeliste"/>
        <w:numPr>
          <w:ilvl w:val="0"/>
          <w:numId w:val="3"/>
        </w:numPr>
        <w:ind w:left="540" w:hanging="540"/>
        <w:rPr>
          <w:rFonts w:cs="Arial"/>
          <w:sz w:val="21"/>
          <w:szCs w:val="21"/>
        </w:rPr>
      </w:pPr>
      <w:r w:rsidRPr="00CF35BC">
        <w:rPr>
          <w:rFonts w:cs="Arial"/>
          <w:sz w:val="21"/>
          <w:szCs w:val="21"/>
        </w:rPr>
        <w:t xml:space="preserve">La représentativité </w:t>
      </w:r>
    </w:p>
    <w:p w14:paraId="418F836A" w14:textId="77777777" w:rsidR="00CD5040" w:rsidRPr="00CF35BC" w:rsidRDefault="00CD5040" w:rsidP="00B71A2E">
      <w:pPr>
        <w:pStyle w:val="Paragraphedeliste"/>
        <w:numPr>
          <w:ilvl w:val="0"/>
          <w:numId w:val="3"/>
        </w:numPr>
        <w:ind w:left="540" w:hanging="540"/>
        <w:rPr>
          <w:rFonts w:cs="Arial"/>
          <w:sz w:val="21"/>
          <w:szCs w:val="21"/>
        </w:rPr>
      </w:pPr>
      <w:r w:rsidRPr="00CF35BC">
        <w:rPr>
          <w:rFonts w:cs="Arial"/>
          <w:sz w:val="21"/>
          <w:szCs w:val="21"/>
        </w:rPr>
        <w:t>La rareté</w:t>
      </w:r>
    </w:p>
    <w:p w14:paraId="39B14E41" w14:textId="77777777" w:rsidR="00CD5040" w:rsidRPr="00CF35BC" w:rsidRDefault="00CD5040" w:rsidP="00B71A2E">
      <w:pPr>
        <w:pStyle w:val="Paragraphedeliste"/>
        <w:numPr>
          <w:ilvl w:val="0"/>
          <w:numId w:val="3"/>
        </w:numPr>
        <w:ind w:left="540" w:hanging="540"/>
        <w:rPr>
          <w:rFonts w:cs="Arial"/>
          <w:sz w:val="21"/>
          <w:szCs w:val="21"/>
        </w:rPr>
      </w:pPr>
      <w:r w:rsidRPr="00CF35BC">
        <w:rPr>
          <w:rFonts w:cs="Arial"/>
          <w:sz w:val="21"/>
          <w:szCs w:val="21"/>
        </w:rPr>
        <w:t>La preuve crédible</w:t>
      </w:r>
    </w:p>
    <w:p w14:paraId="6213D7CC" w14:textId="77777777" w:rsidR="00CD5040" w:rsidRPr="00CF35BC" w:rsidRDefault="00CD5040" w:rsidP="00B71A2E">
      <w:pPr>
        <w:pStyle w:val="Paragraphedeliste"/>
        <w:numPr>
          <w:ilvl w:val="0"/>
          <w:numId w:val="3"/>
        </w:numPr>
        <w:ind w:left="540" w:hanging="540"/>
        <w:rPr>
          <w:rFonts w:cs="Arial"/>
          <w:sz w:val="21"/>
          <w:szCs w:val="21"/>
        </w:rPr>
      </w:pPr>
      <w:r w:rsidRPr="00CF35BC">
        <w:rPr>
          <w:rFonts w:cs="Arial"/>
          <w:sz w:val="21"/>
          <w:szCs w:val="21"/>
        </w:rPr>
        <w:t>La communicabilité</w:t>
      </w:r>
    </w:p>
    <w:p w14:paraId="2E4A9230" w14:textId="77777777" w:rsidR="00CD5040" w:rsidRPr="00CF35BC" w:rsidRDefault="00CD5040" w:rsidP="00B71A2E">
      <w:pPr>
        <w:pStyle w:val="Paragraphedeliste"/>
        <w:numPr>
          <w:ilvl w:val="0"/>
          <w:numId w:val="3"/>
        </w:numPr>
        <w:ind w:left="540" w:hanging="540"/>
        <w:rPr>
          <w:rFonts w:cs="Arial"/>
          <w:sz w:val="21"/>
          <w:szCs w:val="21"/>
        </w:rPr>
      </w:pPr>
      <w:r w:rsidRPr="00CF35BC">
        <w:rPr>
          <w:rFonts w:cs="Arial"/>
          <w:sz w:val="21"/>
          <w:szCs w:val="21"/>
        </w:rPr>
        <w:t>L’exploitabilité</w:t>
      </w:r>
    </w:p>
    <w:p w14:paraId="7DD7168C" w14:textId="77777777" w:rsidR="00CD5040" w:rsidRPr="00CF35BC" w:rsidRDefault="00CD5040" w:rsidP="00B71A2E">
      <w:pPr>
        <w:pStyle w:val="Paragraphedeliste"/>
        <w:numPr>
          <w:ilvl w:val="0"/>
          <w:numId w:val="3"/>
        </w:numPr>
        <w:ind w:left="540" w:hanging="540"/>
        <w:rPr>
          <w:rFonts w:cs="Arial"/>
          <w:sz w:val="21"/>
          <w:szCs w:val="21"/>
        </w:rPr>
      </w:pPr>
      <w:r w:rsidRPr="00CF35BC">
        <w:rPr>
          <w:rFonts w:cs="Arial"/>
          <w:sz w:val="21"/>
          <w:szCs w:val="21"/>
        </w:rPr>
        <w:t xml:space="preserve">Le contexte organisationnel </w:t>
      </w:r>
    </w:p>
    <w:p w14:paraId="3F88F444" w14:textId="77777777" w:rsidR="00CD5040" w:rsidRPr="00CF35BC" w:rsidRDefault="00CD5040" w:rsidP="00B010EA">
      <w:pPr>
        <w:jc w:val="both"/>
        <w:rPr>
          <w:rFonts w:cs="Arial"/>
          <w:sz w:val="21"/>
          <w:szCs w:val="21"/>
        </w:rPr>
      </w:pPr>
    </w:p>
    <w:p w14:paraId="040FB4D7" w14:textId="77777777" w:rsidR="00B010EA" w:rsidRPr="00CF35BC" w:rsidRDefault="00B010EA" w:rsidP="00962F7F">
      <w:pPr>
        <w:jc w:val="both"/>
        <w:rPr>
          <w:rFonts w:cs="Arial"/>
          <w:sz w:val="21"/>
          <w:szCs w:val="21"/>
        </w:rPr>
      </w:pPr>
      <w:r w:rsidRPr="00CF35BC">
        <w:rPr>
          <w:rFonts w:cs="Arial"/>
          <w:sz w:val="21"/>
          <w:szCs w:val="21"/>
        </w:rPr>
        <w:t>Chacune de ces dimensions regroupe des critères d’évaluation qui lui sont propres</w:t>
      </w:r>
      <w:r w:rsidR="00910C29" w:rsidRPr="00CF35BC">
        <w:rPr>
          <w:rFonts w:cs="Arial"/>
          <w:sz w:val="21"/>
          <w:szCs w:val="21"/>
        </w:rPr>
        <w:t>. P</w:t>
      </w:r>
      <w:r w:rsidR="00E37FB8" w:rsidRPr="00CF35BC">
        <w:rPr>
          <w:rFonts w:cs="Arial"/>
          <w:sz w:val="21"/>
          <w:szCs w:val="21"/>
        </w:rPr>
        <w:t>our faciliter</w:t>
      </w:r>
      <w:r w:rsidR="00910C29" w:rsidRPr="00CF35BC">
        <w:rPr>
          <w:rFonts w:cs="Arial"/>
          <w:sz w:val="21"/>
          <w:szCs w:val="21"/>
        </w:rPr>
        <w:t xml:space="preserve"> la lecture et la compréhension de</w:t>
      </w:r>
      <w:r w:rsidR="00875A04" w:rsidRPr="00CF35BC">
        <w:rPr>
          <w:rFonts w:cs="Arial"/>
          <w:sz w:val="21"/>
          <w:szCs w:val="21"/>
        </w:rPr>
        <w:t xml:space="preserve">s </w:t>
      </w:r>
      <w:r w:rsidR="00336F75" w:rsidRPr="00CF35BC">
        <w:rPr>
          <w:rFonts w:cs="Arial"/>
          <w:sz w:val="21"/>
          <w:szCs w:val="21"/>
        </w:rPr>
        <w:t xml:space="preserve">dimensions </w:t>
      </w:r>
      <w:r w:rsidR="00875A04" w:rsidRPr="00CF35BC">
        <w:rPr>
          <w:rFonts w:cs="Arial"/>
          <w:sz w:val="21"/>
          <w:szCs w:val="21"/>
        </w:rPr>
        <w:t>et des critères retenus dans le cadre de cet exercice</w:t>
      </w:r>
      <w:r w:rsidR="00336F75" w:rsidRPr="00CF35BC">
        <w:rPr>
          <w:rFonts w:cs="Arial"/>
          <w:sz w:val="21"/>
          <w:szCs w:val="21"/>
        </w:rPr>
        <w:t xml:space="preserve"> et des concepts qu’ils sous-tendent</w:t>
      </w:r>
      <w:r w:rsidR="00910C29" w:rsidRPr="00CF35BC">
        <w:rPr>
          <w:rFonts w:cs="Arial"/>
          <w:sz w:val="21"/>
          <w:szCs w:val="21"/>
        </w:rPr>
        <w:t xml:space="preserve">, </w:t>
      </w:r>
      <w:r w:rsidR="00875A04" w:rsidRPr="00CF35BC">
        <w:rPr>
          <w:rFonts w:cs="Arial"/>
          <w:sz w:val="21"/>
          <w:szCs w:val="21"/>
        </w:rPr>
        <w:t xml:space="preserve">ceux-ci sont accompagnés </w:t>
      </w:r>
      <w:r w:rsidR="00DE3F95" w:rsidRPr="00CF35BC">
        <w:rPr>
          <w:rFonts w:cs="Arial"/>
          <w:sz w:val="21"/>
          <w:szCs w:val="21"/>
        </w:rPr>
        <w:t>de</w:t>
      </w:r>
      <w:r w:rsidR="00910C29" w:rsidRPr="00CF35BC">
        <w:rPr>
          <w:rFonts w:cs="Arial"/>
          <w:sz w:val="21"/>
          <w:szCs w:val="21"/>
        </w:rPr>
        <w:t xml:space="preserve"> définitions </w:t>
      </w:r>
      <w:r w:rsidR="00875A04" w:rsidRPr="00CF35BC">
        <w:rPr>
          <w:rFonts w:cs="Arial"/>
          <w:sz w:val="21"/>
          <w:szCs w:val="21"/>
        </w:rPr>
        <w:t xml:space="preserve">(voir les encadrés) </w:t>
      </w:r>
      <w:r w:rsidR="00E37FB8" w:rsidRPr="00CF35BC">
        <w:rPr>
          <w:rFonts w:cs="Arial"/>
          <w:sz w:val="21"/>
          <w:szCs w:val="21"/>
        </w:rPr>
        <w:t>élaborées</w:t>
      </w:r>
      <w:r w:rsidR="00875A04" w:rsidRPr="00CF35BC">
        <w:rPr>
          <w:rFonts w:cs="Arial"/>
          <w:sz w:val="21"/>
          <w:szCs w:val="21"/>
        </w:rPr>
        <w:t xml:space="preserve"> </w:t>
      </w:r>
      <w:r w:rsidR="00E37FB8" w:rsidRPr="00CF35BC">
        <w:rPr>
          <w:rFonts w:cs="Arial"/>
          <w:sz w:val="21"/>
          <w:szCs w:val="21"/>
        </w:rPr>
        <w:t xml:space="preserve">par BAnQ </w:t>
      </w:r>
      <w:r w:rsidR="00875A04" w:rsidRPr="00CF35BC">
        <w:rPr>
          <w:rFonts w:cs="Arial"/>
          <w:sz w:val="21"/>
          <w:szCs w:val="21"/>
        </w:rPr>
        <w:t>ou tirés de sources bibliographiques présentées en annexe.</w:t>
      </w:r>
      <w:r w:rsidR="00910C29" w:rsidRPr="00CF35BC">
        <w:rPr>
          <w:rFonts w:cs="Arial"/>
          <w:sz w:val="21"/>
          <w:szCs w:val="21"/>
        </w:rPr>
        <w:t xml:space="preserve"> </w:t>
      </w:r>
      <w:r w:rsidRPr="00CF35BC">
        <w:rPr>
          <w:rFonts w:cs="Arial"/>
          <w:sz w:val="21"/>
          <w:szCs w:val="21"/>
        </w:rPr>
        <w:t xml:space="preserve"> </w:t>
      </w:r>
    </w:p>
    <w:p w14:paraId="6999514D" w14:textId="77777777" w:rsidR="002631AE" w:rsidRDefault="002631AE">
      <w:pPr>
        <w:spacing w:after="200" w:line="276" w:lineRule="auto"/>
        <w:rPr>
          <w:rFonts w:cs="Arial"/>
          <w:b/>
          <w:sz w:val="21"/>
          <w:szCs w:val="21"/>
        </w:rPr>
      </w:pPr>
      <w:r>
        <w:rPr>
          <w:rFonts w:cs="Arial"/>
          <w:b/>
          <w:sz w:val="21"/>
          <w:szCs w:val="21"/>
        </w:rPr>
        <w:br w:type="page"/>
      </w:r>
    </w:p>
    <w:p w14:paraId="39D0F5D4" w14:textId="77777777" w:rsidR="00B010EA" w:rsidRPr="00CF35BC" w:rsidRDefault="00B010EA" w:rsidP="005D4F0A">
      <w:pPr>
        <w:numPr>
          <w:ilvl w:val="0"/>
          <w:numId w:val="2"/>
        </w:numPr>
        <w:tabs>
          <w:tab w:val="left" w:pos="540"/>
        </w:tabs>
        <w:spacing w:before="480"/>
        <w:ind w:left="540" w:hanging="540"/>
        <w:jc w:val="both"/>
        <w:rPr>
          <w:rFonts w:cs="Arial"/>
          <w:b/>
          <w:sz w:val="21"/>
          <w:szCs w:val="21"/>
        </w:rPr>
      </w:pPr>
      <w:r w:rsidRPr="00CF35BC">
        <w:rPr>
          <w:rFonts w:cs="Arial"/>
          <w:b/>
          <w:sz w:val="21"/>
          <w:szCs w:val="21"/>
        </w:rPr>
        <w:lastRenderedPageBreak/>
        <w:t xml:space="preserve">La représentativité </w:t>
      </w:r>
    </w:p>
    <w:p w14:paraId="20738D5A" w14:textId="77777777" w:rsidR="00CF35BC" w:rsidRPr="00CF35BC" w:rsidRDefault="00CF35BC" w:rsidP="00B010EA">
      <w:pPr>
        <w:ind w:left="360"/>
        <w:contextualSpacing/>
        <w:jc w:val="both"/>
        <w:rPr>
          <w:rFonts w:cs="Arial"/>
          <w:sz w:val="21"/>
          <w:szCs w:val="21"/>
        </w:rPr>
      </w:pPr>
    </w:p>
    <w:p w14:paraId="0C02662D" w14:textId="77777777" w:rsidR="00B010EA" w:rsidRPr="00CF35BC" w:rsidRDefault="00B010EA" w:rsidP="00B71A2E">
      <w:pPr>
        <w:contextualSpacing/>
        <w:jc w:val="both"/>
        <w:rPr>
          <w:rFonts w:cs="Arial"/>
          <w:sz w:val="21"/>
          <w:szCs w:val="21"/>
        </w:rPr>
      </w:pPr>
      <w:r w:rsidRPr="00CF35BC">
        <w:rPr>
          <w:rFonts w:cs="Arial"/>
          <w:sz w:val="21"/>
          <w:szCs w:val="21"/>
        </w:rPr>
        <w:t>Ca</w:t>
      </w:r>
      <w:r w:rsidR="00935DE6" w:rsidRPr="00CF35BC">
        <w:rPr>
          <w:rFonts w:cs="Arial"/>
          <w:sz w:val="21"/>
          <w:szCs w:val="21"/>
        </w:rPr>
        <w:t>pacité des archives à fournir</w:t>
      </w:r>
      <w:r w:rsidRPr="00CF35BC">
        <w:rPr>
          <w:rFonts w:cs="Arial"/>
          <w:sz w:val="21"/>
          <w:szCs w:val="21"/>
        </w:rPr>
        <w:t xml:space="preserve"> un témoignage riche et significatif sur un ou plusieurs secteurs d’activités, des événements, des spécificités cultur</w:t>
      </w:r>
      <w:r w:rsidR="00935DE6" w:rsidRPr="00CF35BC">
        <w:rPr>
          <w:rFonts w:cs="Arial"/>
          <w:sz w:val="21"/>
          <w:szCs w:val="21"/>
        </w:rPr>
        <w:t>elles ou des périodes qui ont</w:t>
      </w:r>
      <w:r w:rsidRPr="00CF35BC">
        <w:rPr>
          <w:rFonts w:cs="Arial"/>
          <w:sz w:val="21"/>
          <w:szCs w:val="21"/>
        </w:rPr>
        <w:t xml:space="preserve"> façonné l’histoire du Québec ou d’une de ses régions.</w:t>
      </w:r>
    </w:p>
    <w:p w14:paraId="531693D4" w14:textId="77777777" w:rsidR="00B010EA" w:rsidRPr="00CF35BC" w:rsidRDefault="00B010EA" w:rsidP="00B71A2E">
      <w:pPr>
        <w:contextualSpacing/>
        <w:jc w:val="both"/>
        <w:rPr>
          <w:rFonts w:cs="Arial"/>
          <w:sz w:val="21"/>
          <w:szCs w:val="21"/>
        </w:rPr>
      </w:pPr>
    </w:p>
    <w:p w14:paraId="243210CC" w14:textId="77777777" w:rsidR="00EA2126" w:rsidRPr="00CF35BC" w:rsidRDefault="00EA2126" w:rsidP="00B71A2E">
      <w:pPr>
        <w:contextualSpacing/>
        <w:jc w:val="both"/>
        <w:rPr>
          <w:rFonts w:cs="Arial"/>
          <w:sz w:val="21"/>
          <w:szCs w:val="21"/>
        </w:rPr>
      </w:pPr>
      <w:r w:rsidRPr="00CF35BC">
        <w:rPr>
          <w:rFonts w:cs="Arial"/>
          <w:sz w:val="21"/>
          <w:szCs w:val="21"/>
        </w:rPr>
        <w:t xml:space="preserve">L’évaluation de la qualité de cette représentativité se fait en jugeant 1) </w:t>
      </w:r>
      <w:r w:rsidR="00755071" w:rsidRPr="00CF35BC">
        <w:rPr>
          <w:rFonts w:cs="Arial"/>
          <w:sz w:val="21"/>
          <w:szCs w:val="21"/>
        </w:rPr>
        <w:t>du caractère décisionnel de l’information</w:t>
      </w:r>
      <w:r w:rsidR="00DD1D92" w:rsidRPr="00CF35BC">
        <w:rPr>
          <w:rFonts w:cs="Arial"/>
          <w:sz w:val="21"/>
          <w:szCs w:val="21"/>
        </w:rPr>
        <w:t>;</w:t>
      </w:r>
      <w:r w:rsidR="00D32DAF" w:rsidRPr="00CF35BC">
        <w:rPr>
          <w:rFonts w:cs="Arial"/>
          <w:sz w:val="21"/>
          <w:szCs w:val="21"/>
        </w:rPr>
        <w:t xml:space="preserve"> </w:t>
      </w:r>
      <w:r w:rsidRPr="00CF35BC">
        <w:rPr>
          <w:rFonts w:cs="Arial"/>
          <w:sz w:val="21"/>
          <w:szCs w:val="21"/>
        </w:rPr>
        <w:t xml:space="preserve">2) </w:t>
      </w:r>
      <w:r w:rsidR="00755071" w:rsidRPr="00CF35BC">
        <w:rPr>
          <w:rFonts w:cs="Arial"/>
          <w:sz w:val="21"/>
          <w:szCs w:val="21"/>
        </w:rPr>
        <w:t>de la densité de l’information (</w:t>
      </w:r>
      <w:r w:rsidR="006C67B2" w:rsidRPr="00CF35BC">
        <w:rPr>
          <w:rFonts w:cs="Arial"/>
          <w:sz w:val="21"/>
          <w:szCs w:val="21"/>
        </w:rPr>
        <w:t>c.-à-d.</w:t>
      </w:r>
      <w:r w:rsidR="00755071" w:rsidRPr="00CF35BC">
        <w:rPr>
          <w:rFonts w:cs="Arial"/>
          <w:sz w:val="21"/>
          <w:szCs w:val="21"/>
        </w:rPr>
        <w:t xml:space="preserve"> sa capacité à documenter de manière condensée un sujet donné); </w:t>
      </w:r>
      <w:r w:rsidRPr="00CF35BC">
        <w:rPr>
          <w:rFonts w:cs="Arial"/>
          <w:sz w:val="21"/>
          <w:szCs w:val="21"/>
        </w:rPr>
        <w:t>et 3) de la complémentarité de l’information contenue dans le fonds ou la collection par rapport à d’autres sources documentaires.</w:t>
      </w:r>
    </w:p>
    <w:p w14:paraId="2FBB215A" w14:textId="77777777" w:rsidR="00EB2599" w:rsidRPr="00CF35BC" w:rsidRDefault="00EB2599" w:rsidP="00B010EA">
      <w:pPr>
        <w:ind w:left="360"/>
        <w:contextualSpacing/>
        <w:jc w:val="both"/>
        <w:rPr>
          <w:rFonts w:cs="Arial"/>
          <w:sz w:val="21"/>
          <w:szCs w:val="21"/>
        </w:rPr>
      </w:pPr>
    </w:p>
    <w:tbl>
      <w:tblPr>
        <w:tblStyle w:val="Grilledutableau11"/>
        <w:tblW w:w="0" w:type="auto"/>
        <w:tblInd w:w="108" w:type="dxa"/>
        <w:tblLook w:val="04A0" w:firstRow="1" w:lastRow="0" w:firstColumn="1" w:lastColumn="0" w:noHBand="0" w:noVBand="1"/>
      </w:tblPr>
      <w:tblGrid>
        <w:gridCol w:w="2326"/>
        <w:gridCol w:w="6196"/>
      </w:tblGrid>
      <w:tr w:rsidR="00EB2599" w:rsidRPr="002631AE" w14:paraId="1A142130" w14:textId="77777777" w:rsidTr="002631AE">
        <w:trPr>
          <w:trHeight w:val="2267"/>
        </w:trPr>
        <w:tc>
          <w:tcPr>
            <w:tcW w:w="2340" w:type="dxa"/>
            <w:tcBorders>
              <w:bottom w:val="single" w:sz="4" w:space="0" w:color="auto"/>
              <w:right w:val="single" w:sz="4" w:space="0" w:color="auto"/>
            </w:tcBorders>
          </w:tcPr>
          <w:p w14:paraId="38FB38DC" w14:textId="77777777" w:rsidR="00EB2599" w:rsidRPr="002631AE" w:rsidRDefault="00EB2599" w:rsidP="006613C9">
            <w:pPr>
              <w:spacing w:before="120" w:after="120"/>
              <w:ind w:left="252" w:hanging="252"/>
              <w:rPr>
                <w:rFonts w:cs="Arial"/>
                <w:sz w:val="19"/>
                <w:szCs w:val="19"/>
              </w:rPr>
            </w:pPr>
            <w:r w:rsidRPr="002631AE">
              <w:rPr>
                <w:rFonts w:cs="Arial"/>
                <w:sz w:val="19"/>
                <w:szCs w:val="19"/>
              </w:rPr>
              <w:t>1.</w:t>
            </w:r>
            <w:r w:rsidR="00B71A2E" w:rsidRPr="002631AE">
              <w:rPr>
                <w:rFonts w:cs="Arial"/>
                <w:sz w:val="19"/>
                <w:szCs w:val="19"/>
              </w:rPr>
              <w:tab/>
            </w:r>
            <w:r w:rsidRPr="002631AE">
              <w:rPr>
                <w:rFonts w:cs="Arial"/>
                <w:sz w:val="19"/>
                <w:szCs w:val="19"/>
              </w:rPr>
              <w:t>Témoignage de secteurs d’activités,</w:t>
            </w:r>
            <w:r w:rsidR="00B71A2E" w:rsidRPr="002631AE">
              <w:rPr>
                <w:rFonts w:cs="Arial"/>
                <w:sz w:val="19"/>
                <w:szCs w:val="19"/>
              </w:rPr>
              <w:t xml:space="preserve"> </w:t>
            </w:r>
            <w:r w:rsidRPr="002631AE">
              <w:rPr>
                <w:rFonts w:cs="Arial"/>
                <w:sz w:val="19"/>
                <w:szCs w:val="19"/>
              </w:rPr>
              <w:t>d’événements, de</w:t>
            </w:r>
            <w:r w:rsidR="00B71A2E" w:rsidRPr="002631AE">
              <w:rPr>
                <w:rFonts w:cs="Arial"/>
                <w:sz w:val="19"/>
                <w:szCs w:val="19"/>
              </w:rPr>
              <w:t xml:space="preserve"> s</w:t>
            </w:r>
            <w:r w:rsidRPr="002631AE">
              <w:rPr>
                <w:rFonts w:cs="Arial"/>
                <w:sz w:val="19"/>
                <w:szCs w:val="19"/>
              </w:rPr>
              <w:t>pécificités culturelles ou de périodes</w:t>
            </w:r>
          </w:p>
        </w:tc>
        <w:tc>
          <w:tcPr>
            <w:tcW w:w="6408" w:type="dxa"/>
            <w:tcBorders>
              <w:left w:val="single" w:sz="4" w:space="0" w:color="auto"/>
              <w:bottom w:val="single" w:sz="4" w:space="0" w:color="auto"/>
            </w:tcBorders>
          </w:tcPr>
          <w:p w14:paraId="18C12E7C" w14:textId="77777777" w:rsidR="00EB2599" w:rsidRPr="002631AE" w:rsidRDefault="00EB2599" w:rsidP="006613C9">
            <w:pPr>
              <w:spacing w:before="120" w:after="120"/>
              <w:jc w:val="both"/>
              <w:rPr>
                <w:rFonts w:cs="Arial"/>
                <w:sz w:val="19"/>
                <w:szCs w:val="19"/>
              </w:rPr>
            </w:pPr>
            <w:r w:rsidRPr="002631AE">
              <w:rPr>
                <w:rFonts w:cs="Arial"/>
                <w:sz w:val="19"/>
                <w:szCs w:val="19"/>
              </w:rPr>
              <w:t xml:space="preserve">Capacité des archives à documenter le contexte organisationnel typique d’un secteur d’activités ou les activités d’un créateur. </w:t>
            </w:r>
          </w:p>
          <w:p w14:paraId="4621075D" w14:textId="77777777" w:rsidR="00EB2599" w:rsidRPr="002631AE" w:rsidRDefault="00EB2599" w:rsidP="006613C9">
            <w:pPr>
              <w:spacing w:before="120" w:after="120"/>
              <w:jc w:val="both"/>
              <w:rPr>
                <w:rFonts w:cs="Arial"/>
                <w:sz w:val="19"/>
                <w:szCs w:val="19"/>
              </w:rPr>
            </w:pPr>
            <w:r w:rsidRPr="002631AE">
              <w:rPr>
                <w:rFonts w:cs="Arial"/>
                <w:sz w:val="19"/>
                <w:szCs w:val="19"/>
              </w:rPr>
              <w:t>BAnQ évalue la capacité des archives à bonifier les connaissances sur des secteurs d’activités, des événements, des spécificités culturelles et des périodes peu ou pas documentés.</w:t>
            </w:r>
          </w:p>
          <w:p w14:paraId="7C245D16" w14:textId="77777777" w:rsidR="00EB2599" w:rsidRPr="002631AE" w:rsidRDefault="00EB2599" w:rsidP="00524756">
            <w:pPr>
              <w:spacing w:before="120" w:after="120"/>
              <w:jc w:val="both"/>
              <w:rPr>
                <w:rFonts w:cs="Arial"/>
                <w:sz w:val="19"/>
                <w:szCs w:val="19"/>
                <w:lang w:eastAsia="fr-CA"/>
              </w:rPr>
            </w:pPr>
            <w:r w:rsidRPr="002631AE">
              <w:rPr>
                <w:rFonts w:cs="Arial"/>
                <w:sz w:val="19"/>
                <w:szCs w:val="19"/>
              </w:rPr>
              <w:t>À BAnQ, la notion de représentativité englobe les efforts de l’institution à identifier les secteurs d’activités sous</w:t>
            </w:r>
            <w:r w:rsidR="00524756">
              <w:rPr>
                <w:rFonts w:cs="Arial"/>
                <w:sz w:val="19"/>
                <w:szCs w:val="19"/>
              </w:rPr>
              <w:t>-r</w:t>
            </w:r>
            <w:r w:rsidRPr="002631AE">
              <w:rPr>
                <w:rFonts w:cs="Arial"/>
                <w:sz w:val="19"/>
                <w:szCs w:val="19"/>
              </w:rPr>
              <w:t xml:space="preserve">eprésentés et surreprésentés de sa collection de manière à orienter ses priorités d’acquisition. </w:t>
            </w:r>
            <w:r w:rsidRPr="002631AE">
              <w:rPr>
                <w:rFonts w:cs="Arial"/>
                <w:sz w:val="19"/>
                <w:szCs w:val="19"/>
                <w:lang w:eastAsia="fr-CA"/>
              </w:rPr>
              <w:t xml:space="preserve"> </w:t>
            </w:r>
          </w:p>
        </w:tc>
      </w:tr>
      <w:tr w:rsidR="00EB2599" w:rsidRPr="002631AE" w14:paraId="220AF4B2" w14:textId="77777777" w:rsidTr="002631AE">
        <w:trPr>
          <w:trHeight w:val="1700"/>
        </w:trPr>
        <w:tc>
          <w:tcPr>
            <w:tcW w:w="2340" w:type="dxa"/>
            <w:tcBorders>
              <w:top w:val="single" w:sz="4" w:space="0" w:color="auto"/>
              <w:bottom w:val="single" w:sz="4" w:space="0" w:color="auto"/>
              <w:right w:val="single" w:sz="4" w:space="0" w:color="auto"/>
            </w:tcBorders>
          </w:tcPr>
          <w:p w14:paraId="1149DC39" w14:textId="77777777" w:rsidR="00EB2599" w:rsidRPr="002631AE" w:rsidRDefault="00EB2599" w:rsidP="006613C9">
            <w:pPr>
              <w:spacing w:before="120" w:after="120"/>
              <w:ind w:left="252" w:hanging="252"/>
              <w:rPr>
                <w:rFonts w:cs="Arial"/>
                <w:sz w:val="19"/>
                <w:szCs w:val="19"/>
              </w:rPr>
            </w:pPr>
            <w:r w:rsidRPr="002631AE">
              <w:rPr>
                <w:rFonts w:cs="Arial"/>
                <w:sz w:val="19"/>
                <w:szCs w:val="19"/>
              </w:rPr>
              <w:t>2.</w:t>
            </w:r>
            <w:r w:rsidR="006613C9" w:rsidRPr="002631AE">
              <w:rPr>
                <w:rFonts w:cs="Arial"/>
                <w:sz w:val="19"/>
                <w:szCs w:val="19"/>
              </w:rPr>
              <w:tab/>
            </w:r>
            <w:r w:rsidRPr="002631AE">
              <w:rPr>
                <w:rFonts w:cs="Arial"/>
                <w:sz w:val="19"/>
                <w:szCs w:val="19"/>
              </w:rPr>
              <w:t>Valeur nationale et régionale</w:t>
            </w:r>
          </w:p>
          <w:p w14:paraId="59922982" w14:textId="77777777" w:rsidR="00EB2599" w:rsidRPr="002631AE" w:rsidRDefault="00EB2599" w:rsidP="006613C9">
            <w:pPr>
              <w:spacing w:before="120" w:after="120"/>
              <w:ind w:left="252" w:hanging="252"/>
              <w:rPr>
                <w:rFonts w:cs="Arial"/>
                <w:sz w:val="19"/>
                <w:szCs w:val="19"/>
              </w:rPr>
            </w:pPr>
          </w:p>
        </w:tc>
        <w:tc>
          <w:tcPr>
            <w:tcW w:w="6408" w:type="dxa"/>
            <w:tcBorders>
              <w:top w:val="single" w:sz="4" w:space="0" w:color="auto"/>
              <w:left w:val="single" w:sz="4" w:space="0" w:color="auto"/>
              <w:bottom w:val="single" w:sz="4" w:space="0" w:color="auto"/>
            </w:tcBorders>
          </w:tcPr>
          <w:p w14:paraId="574F3FE9" w14:textId="77777777" w:rsidR="00EB2599" w:rsidRPr="002631AE" w:rsidRDefault="00EB2599" w:rsidP="006613C9">
            <w:pPr>
              <w:spacing w:before="120" w:after="120"/>
              <w:jc w:val="both"/>
              <w:rPr>
                <w:rFonts w:cs="Arial"/>
                <w:sz w:val="19"/>
                <w:szCs w:val="19"/>
              </w:rPr>
            </w:pPr>
            <w:r w:rsidRPr="002631AE">
              <w:rPr>
                <w:rFonts w:cs="Arial"/>
                <w:sz w:val="19"/>
                <w:szCs w:val="19"/>
              </w:rPr>
              <w:t>Capacité des archives à témoigner, soit 1) du caractère unique et original de la société québécoise, soit 2) de la diversité des réalités régionales.</w:t>
            </w:r>
          </w:p>
          <w:p w14:paraId="1653A5C3" w14:textId="77777777" w:rsidR="00EB2599" w:rsidRPr="002631AE" w:rsidRDefault="00EB2599" w:rsidP="006613C9">
            <w:pPr>
              <w:spacing w:before="120" w:after="120"/>
              <w:jc w:val="both"/>
              <w:rPr>
                <w:rFonts w:cs="Arial"/>
                <w:sz w:val="19"/>
                <w:szCs w:val="19"/>
              </w:rPr>
            </w:pPr>
            <w:r w:rsidRPr="002631AE">
              <w:rPr>
                <w:rFonts w:cs="Arial"/>
                <w:sz w:val="19"/>
                <w:szCs w:val="19"/>
              </w:rPr>
              <w:t xml:space="preserve">Les fonds et collections d’archives privées ayant une portée locale sont </w:t>
            </w:r>
            <w:r w:rsidR="006C67B2" w:rsidRPr="002631AE">
              <w:rPr>
                <w:rFonts w:cs="Arial"/>
                <w:sz w:val="19"/>
                <w:szCs w:val="19"/>
              </w:rPr>
              <w:t>confiés</w:t>
            </w:r>
            <w:r w:rsidRPr="002631AE">
              <w:rPr>
                <w:rFonts w:cs="Arial"/>
                <w:sz w:val="19"/>
                <w:szCs w:val="19"/>
              </w:rPr>
              <w:t xml:space="preserve"> au centre d’archives ou à la société d’histoire locale ayant la capacité de conserver adéquatement les archives et de les rendre accessibles.</w:t>
            </w:r>
          </w:p>
        </w:tc>
      </w:tr>
      <w:tr w:rsidR="00EB2599" w:rsidRPr="002631AE" w14:paraId="48E50FF4" w14:textId="77777777" w:rsidTr="006613C9">
        <w:trPr>
          <w:trHeight w:val="783"/>
        </w:trPr>
        <w:tc>
          <w:tcPr>
            <w:tcW w:w="2340" w:type="dxa"/>
            <w:tcBorders>
              <w:top w:val="single" w:sz="4" w:space="0" w:color="auto"/>
              <w:bottom w:val="single" w:sz="4" w:space="0" w:color="auto"/>
              <w:right w:val="single" w:sz="4" w:space="0" w:color="auto"/>
            </w:tcBorders>
          </w:tcPr>
          <w:p w14:paraId="195A15C0" w14:textId="77777777" w:rsidR="00EB2599" w:rsidRPr="002631AE" w:rsidRDefault="00EB2599" w:rsidP="006613C9">
            <w:pPr>
              <w:spacing w:before="120" w:after="120"/>
              <w:ind w:left="252" w:hanging="252"/>
              <w:rPr>
                <w:rFonts w:cs="Arial"/>
                <w:sz w:val="19"/>
                <w:szCs w:val="19"/>
              </w:rPr>
            </w:pPr>
            <w:r w:rsidRPr="002631AE">
              <w:rPr>
                <w:rFonts w:cs="Arial"/>
                <w:sz w:val="19"/>
                <w:szCs w:val="19"/>
              </w:rPr>
              <w:t xml:space="preserve">3. </w:t>
            </w:r>
            <w:r w:rsidR="006613C9" w:rsidRPr="002631AE">
              <w:rPr>
                <w:rFonts w:cs="Arial"/>
                <w:sz w:val="19"/>
                <w:szCs w:val="19"/>
              </w:rPr>
              <w:tab/>
            </w:r>
            <w:r w:rsidRPr="002631AE">
              <w:rPr>
                <w:rFonts w:cs="Arial"/>
                <w:sz w:val="19"/>
                <w:szCs w:val="19"/>
              </w:rPr>
              <w:t>Caractère décisionnel</w:t>
            </w:r>
          </w:p>
          <w:p w14:paraId="30012C5C" w14:textId="77777777" w:rsidR="00EB2599" w:rsidRPr="002631AE" w:rsidRDefault="00EB2599" w:rsidP="006613C9">
            <w:pPr>
              <w:spacing w:before="120" w:after="120"/>
              <w:ind w:left="252" w:hanging="252"/>
              <w:jc w:val="both"/>
              <w:rPr>
                <w:rFonts w:cs="Arial"/>
                <w:sz w:val="19"/>
                <w:szCs w:val="19"/>
              </w:rPr>
            </w:pPr>
          </w:p>
        </w:tc>
        <w:tc>
          <w:tcPr>
            <w:tcW w:w="6408" w:type="dxa"/>
            <w:tcBorders>
              <w:top w:val="single" w:sz="4" w:space="0" w:color="auto"/>
              <w:left w:val="single" w:sz="4" w:space="0" w:color="auto"/>
              <w:bottom w:val="single" w:sz="4" w:space="0" w:color="auto"/>
            </w:tcBorders>
          </w:tcPr>
          <w:p w14:paraId="380F9572" w14:textId="77777777" w:rsidR="00EB2599" w:rsidRPr="002631AE" w:rsidRDefault="00EB2599" w:rsidP="006613C9">
            <w:pPr>
              <w:spacing w:before="120" w:after="120"/>
              <w:jc w:val="both"/>
              <w:rPr>
                <w:rFonts w:cs="Arial"/>
                <w:sz w:val="19"/>
                <w:szCs w:val="19"/>
              </w:rPr>
            </w:pPr>
            <w:r w:rsidRPr="002631AE">
              <w:rPr>
                <w:rFonts w:cs="Arial"/>
                <w:sz w:val="19"/>
                <w:szCs w:val="19"/>
              </w:rPr>
              <w:t>Capacité des archives à 1) témoigner des décisions et des orientations des créateurs des documents et à 2) documenter le processus décisionnel relatif à un secteur d’activités.</w:t>
            </w:r>
          </w:p>
        </w:tc>
      </w:tr>
      <w:tr w:rsidR="00EB2599" w:rsidRPr="002631AE" w14:paraId="72FD5D49" w14:textId="77777777" w:rsidTr="006613C9">
        <w:trPr>
          <w:trHeight w:val="927"/>
        </w:trPr>
        <w:tc>
          <w:tcPr>
            <w:tcW w:w="2340" w:type="dxa"/>
            <w:tcBorders>
              <w:top w:val="single" w:sz="4" w:space="0" w:color="auto"/>
              <w:bottom w:val="single" w:sz="4" w:space="0" w:color="auto"/>
              <w:right w:val="single" w:sz="4" w:space="0" w:color="auto"/>
            </w:tcBorders>
          </w:tcPr>
          <w:p w14:paraId="16A1DFCE" w14:textId="77777777" w:rsidR="00EB2599" w:rsidRPr="002631AE" w:rsidRDefault="00EB2599" w:rsidP="006613C9">
            <w:pPr>
              <w:spacing w:before="120" w:after="120"/>
              <w:ind w:left="252" w:hanging="252"/>
              <w:rPr>
                <w:rFonts w:cs="Arial"/>
                <w:sz w:val="19"/>
                <w:szCs w:val="19"/>
              </w:rPr>
            </w:pPr>
            <w:r w:rsidRPr="002631AE">
              <w:rPr>
                <w:rFonts w:cs="Arial"/>
                <w:sz w:val="19"/>
                <w:szCs w:val="19"/>
              </w:rPr>
              <w:t>4.</w:t>
            </w:r>
            <w:r w:rsidR="006613C9" w:rsidRPr="002631AE">
              <w:rPr>
                <w:rFonts w:cs="Arial"/>
                <w:sz w:val="19"/>
                <w:szCs w:val="19"/>
              </w:rPr>
              <w:tab/>
            </w:r>
            <w:r w:rsidRPr="002631AE">
              <w:rPr>
                <w:rFonts w:cs="Arial"/>
                <w:sz w:val="19"/>
                <w:szCs w:val="19"/>
              </w:rPr>
              <w:t xml:space="preserve">Densité  </w:t>
            </w:r>
          </w:p>
          <w:p w14:paraId="5B13A558" w14:textId="77777777" w:rsidR="00EB2599" w:rsidRPr="002631AE" w:rsidRDefault="00EB2599" w:rsidP="006613C9">
            <w:pPr>
              <w:spacing w:before="120" w:after="120"/>
              <w:ind w:left="252" w:hanging="252"/>
              <w:rPr>
                <w:rFonts w:cs="Arial"/>
                <w:sz w:val="19"/>
                <w:szCs w:val="19"/>
              </w:rPr>
            </w:pPr>
          </w:p>
        </w:tc>
        <w:tc>
          <w:tcPr>
            <w:tcW w:w="6408" w:type="dxa"/>
            <w:tcBorders>
              <w:top w:val="single" w:sz="4" w:space="0" w:color="auto"/>
              <w:left w:val="single" w:sz="4" w:space="0" w:color="auto"/>
              <w:bottom w:val="single" w:sz="4" w:space="0" w:color="auto"/>
            </w:tcBorders>
          </w:tcPr>
          <w:p w14:paraId="1BBB1410" w14:textId="77777777" w:rsidR="00EB2599" w:rsidRPr="002631AE" w:rsidRDefault="00EB2599" w:rsidP="006613C9">
            <w:pPr>
              <w:spacing w:before="120" w:after="120"/>
              <w:jc w:val="both"/>
              <w:rPr>
                <w:rFonts w:cs="Arial"/>
                <w:sz w:val="19"/>
                <w:szCs w:val="19"/>
              </w:rPr>
            </w:pPr>
            <w:r w:rsidRPr="002631AE">
              <w:rPr>
                <w:rFonts w:cs="Arial"/>
                <w:sz w:val="19"/>
                <w:szCs w:val="19"/>
              </w:rPr>
              <w:t xml:space="preserve">Capacité des archives à documenter de manière condensée un ou plusieurs secteurs d’activités, des événements, des spécificités culturelles ou des périodes.  </w:t>
            </w:r>
          </w:p>
        </w:tc>
      </w:tr>
      <w:tr w:rsidR="00EB2599" w:rsidRPr="002631AE" w14:paraId="62059DDC" w14:textId="77777777" w:rsidTr="006613C9">
        <w:trPr>
          <w:trHeight w:val="765"/>
        </w:trPr>
        <w:tc>
          <w:tcPr>
            <w:tcW w:w="2340" w:type="dxa"/>
            <w:tcBorders>
              <w:top w:val="single" w:sz="4" w:space="0" w:color="auto"/>
              <w:right w:val="single" w:sz="4" w:space="0" w:color="auto"/>
            </w:tcBorders>
          </w:tcPr>
          <w:p w14:paraId="7CF0B18D" w14:textId="77777777" w:rsidR="00EB2599" w:rsidRPr="002631AE" w:rsidRDefault="00EB2599" w:rsidP="006613C9">
            <w:pPr>
              <w:spacing w:before="120" w:after="120"/>
              <w:ind w:left="252" w:hanging="252"/>
              <w:rPr>
                <w:rFonts w:cs="Arial"/>
                <w:sz w:val="19"/>
                <w:szCs w:val="19"/>
              </w:rPr>
            </w:pPr>
            <w:r w:rsidRPr="002631AE">
              <w:rPr>
                <w:rFonts w:cs="Arial"/>
                <w:sz w:val="19"/>
                <w:szCs w:val="19"/>
              </w:rPr>
              <w:t>5.</w:t>
            </w:r>
            <w:r w:rsidR="006613C9" w:rsidRPr="002631AE">
              <w:rPr>
                <w:rFonts w:cs="Arial"/>
                <w:sz w:val="19"/>
                <w:szCs w:val="19"/>
              </w:rPr>
              <w:tab/>
            </w:r>
            <w:r w:rsidRPr="002631AE">
              <w:rPr>
                <w:rFonts w:cs="Arial"/>
                <w:sz w:val="19"/>
                <w:szCs w:val="19"/>
              </w:rPr>
              <w:t xml:space="preserve">Complémentarité </w:t>
            </w:r>
          </w:p>
        </w:tc>
        <w:tc>
          <w:tcPr>
            <w:tcW w:w="6408" w:type="dxa"/>
            <w:tcBorders>
              <w:top w:val="single" w:sz="4" w:space="0" w:color="auto"/>
              <w:left w:val="single" w:sz="4" w:space="0" w:color="auto"/>
            </w:tcBorders>
          </w:tcPr>
          <w:p w14:paraId="38D86E20" w14:textId="77777777" w:rsidR="00910C29" w:rsidRPr="002631AE" w:rsidRDefault="00EB2599" w:rsidP="006613C9">
            <w:pPr>
              <w:spacing w:before="120" w:after="120"/>
              <w:jc w:val="both"/>
              <w:rPr>
                <w:rFonts w:cs="Arial"/>
                <w:sz w:val="19"/>
                <w:szCs w:val="19"/>
              </w:rPr>
            </w:pPr>
            <w:r w:rsidRPr="002631AE">
              <w:rPr>
                <w:rFonts w:cs="Arial"/>
                <w:sz w:val="19"/>
                <w:szCs w:val="19"/>
              </w:rPr>
              <w:t>Capacité des archives à bonifier un sujet, un événement, une spécificité culturelle ou une période déjà documentée, mais jugée sous représentés.</w:t>
            </w:r>
          </w:p>
        </w:tc>
      </w:tr>
    </w:tbl>
    <w:p w14:paraId="0C85F1C4" w14:textId="77777777" w:rsidR="002631AE" w:rsidRDefault="002631AE" w:rsidP="002631AE">
      <w:pPr>
        <w:spacing w:before="480"/>
        <w:ind w:left="360"/>
        <w:jc w:val="both"/>
        <w:rPr>
          <w:rFonts w:cs="Arial"/>
          <w:b/>
          <w:sz w:val="21"/>
          <w:szCs w:val="21"/>
        </w:rPr>
      </w:pPr>
    </w:p>
    <w:p w14:paraId="0998B4D0" w14:textId="77777777" w:rsidR="002631AE" w:rsidRDefault="002631AE">
      <w:pPr>
        <w:spacing w:after="200" w:line="276" w:lineRule="auto"/>
        <w:rPr>
          <w:rFonts w:cs="Arial"/>
          <w:b/>
          <w:sz w:val="21"/>
          <w:szCs w:val="21"/>
        </w:rPr>
      </w:pPr>
      <w:r>
        <w:rPr>
          <w:rFonts w:cs="Arial"/>
          <w:b/>
          <w:sz w:val="21"/>
          <w:szCs w:val="21"/>
        </w:rPr>
        <w:br w:type="page"/>
      </w:r>
    </w:p>
    <w:p w14:paraId="425D436A" w14:textId="77777777" w:rsidR="00B010EA" w:rsidRPr="00CF35BC" w:rsidRDefault="00E37FB8" w:rsidP="005D4F0A">
      <w:pPr>
        <w:numPr>
          <w:ilvl w:val="0"/>
          <w:numId w:val="2"/>
        </w:numPr>
        <w:tabs>
          <w:tab w:val="left" w:pos="540"/>
        </w:tabs>
        <w:spacing w:before="480"/>
        <w:ind w:left="540" w:hanging="540"/>
        <w:jc w:val="both"/>
        <w:rPr>
          <w:rFonts w:cs="Arial"/>
          <w:b/>
          <w:sz w:val="21"/>
          <w:szCs w:val="21"/>
        </w:rPr>
      </w:pPr>
      <w:r w:rsidRPr="00CF35BC">
        <w:rPr>
          <w:rFonts w:cs="Arial"/>
          <w:b/>
          <w:sz w:val="21"/>
          <w:szCs w:val="21"/>
        </w:rPr>
        <w:lastRenderedPageBreak/>
        <w:t>La rareté</w:t>
      </w:r>
    </w:p>
    <w:p w14:paraId="0EF007A9" w14:textId="77777777" w:rsidR="006613C9" w:rsidRDefault="006613C9" w:rsidP="00B010EA">
      <w:pPr>
        <w:ind w:left="360"/>
        <w:contextualSpacing/>
        <w:jc w:val="both"/>
        <w:rPr>
          <w:rFonts w:cs="Arial"/>
          <w:sz w:val="21"/>
          <w:szCs w:val="21"/>
        </w:rPr>
      </w:pPr>
    </w:p>
    <w:p w14:paraId="2962A32E" w14:textId="77777777" w:rsidR="00B010EA" w:rsidRPr="00CF35BC" w:rsidRDefault="00B010EA" w:rsidP="006613C9">
      <w:pPr>
        <w:contextualSpacing/>
        <w:jc w:val="both"/>
        <w:rPr>
          <w:rFonts w:cs="Arial"/>
          <w:sz w:val="21"/>
          <w:szCs w:val="21"/>
        </w:rPr>
      </w:pPr>
      <w:r w:rsidRPr="00CF35BC">
        <w:rPr>
          <w:rFonts w:cs="Arial"/>
          <w:sz w:val="21"/>
          <w:szCs w:val="21"/>
        </w:rPr>
        <w:t>Dimension qui se définit par un ou plusieurs aspects reliés au caractère singulier des archives. Des archives rares sont celles dont le support, le contenu, ou le contexte de création se rencontrent peu souvent. La rareté se subdivise en 1) rareté matérielle</w:t>
      </w:r>
      <w:r w:rsidR="00DD1D92" w:rsidRPr="00CF35BC">
        <w:rPr>
          <w:rFonts w:cs="Arial"/>
          <w:sz w:val="21"/>
          <w:szCs w:val="21"/>
        </w:rPr>
        <w:t>;</w:t>
      </w:r>
      <w:r w:rsidRPr="00CF35BC">
        <w:rPr>
          <w:rFonts w:cs="Arial"/>
          <w:sz w:val="21"/>
          <w:szCs w:val="21"/>
        </w:rPr>
        <w:t xml:space="preserve"> 2) rareté informationnelle</w:t>
      </w:r>
      <w:r w:rsidR="00DD1D92" w:rsidRPr="00CF35BC">
        <w:rPr>
          <w:rFonts w:cs="Arial"/>
          <w:sz w:val="21"/>
          <w:szCs w:val="21"/>
        </w:rPr>
        <w:t>;</w:t>
      </w:r>
      <w:r w:rsidRPr="00CF35BC">
        <w:rPr>
          <w:rFonts w:cs="Arial"/>
          <w:sz w:val="21"/>
          <w:szCs w:val="21"/>
        </w:rPr>
        <w:t xml:space="preserve"> et 3) rareté contextuelle.</w:t>
      </w:r>
    </w:p>
    <w:p w14:paraId="481AEBCF" w14:textId="77777777" w:rsidR="00F32F3B" w:rsidRPr="00CF35BC" w:rsidRDefault="00F32F3B" w:rsidP="00B010EA">
      <w:pPr>
        <w:ind w:left="360"/>
        <w:contextualSpacing/>
        <w:jc w:val="both"/>
        <w:rPr>
          <w:rFonts w:cs="Arial"/>
          <w:sz w:val="21"/>
          <w:szCs w:val="21"/>
        </w:rPr>
      </w:pPr>
    </w:p>
    <w:tbl>
      <w:tblPr>
        <w:tblStyle w:val="Grilledutableau12"/>
        <w:tblW w:w="0" w:type="auto"/>
        <w:tblInd w:w="108" w:type="dxa"/>
        <w:tblLook w:val="04A0" w:firstRow="1" w:lastRow="0" w:firstColumn="1" w:lastColumn="0" w:noHBand="0" w:noVBand="1"/>
      </w:tblPr>
      <w:tblGrid>
        <w:gridCol w:w="2316"/>
        <w:gridCol w:w="6206"/>
      </w:tblGrid>
      <w:tr w:rsidR="00F32F3B" w:rsidRPr="002631AE" w14:paraId="210074FF" w14:textId="77777777" w:rsidTr="006613C9">
        <w:trPr>
          <w:trHeight w:val="348"/>
        </w:trPr>
        <w:tc>
          <w:tcPr>
            <w:tcW w:w="2340" w:type="dxa"/>
          </w:tcPr>
          <w:p w14:paraId="4BD544B5" w14:textId="77777777" w:rsidR="00F32F3B" w:rsidRPr="002631AE" w:rsidRDefault="00F32F3B" w:rsidP="006613C9">
            <w:pPr>
              <w:spacing w:before="120" w:after="120"/>
              <w:ind w:left="252" w:hanging="252"/>
              <w:rPr>
                <w:rFonts w:cs="Arial"/>
                <w:sz w:val="19"/>
                <w:szCs w:val="19"/>
              </w:rPr>
            </w:pPr>
            <w:r w:rsidRPr="002631AE">
              <w:rPr>
                <w:rFonts w:cs="Arial"/>
                <w:sz w:val="19"/>
                <w:szCs w:val="19"/>
              </w:rPr>
              <w:t>1.</w:t>
            </w:r>
            <w:r w:rsidR="006613C9" w:rsidRPr="002631AE">
              <w:rPr>
                <w:rFonts w:cs="Arial"/>
                <w:sz w:val="19"/>
                <w:szCs w:val="19"/>
              </w:rPr>
              <w:tab/>
            </w:r>
            <w:r w:rsidRPr="002631AE">
              <w:rPr>
                <w:rFonts w:cs="Arial"/>
                <w:sz w:val="19"/>
                <w:szCs w:val="19"/>
              </w:rPr>
              <w:t>Rareté matérielle</w:t>
            </w:r>
          </w:p>
        </w:tc>
        <w:tc>
          <w:tcPr>
            <w:tcW w:w="6408" w:type="dxa"/>
          </w:tcPr>
          <w:p w14:paraId="4FB9ABCB" w14:textId="77777777" w:rsidR="00F32F3B" w:rsidRPr="002631AE" w:rsidRDefault="00F32F3B" w:rsidP="006613C9">
            <w:pPr>
              <w:spacing w:before="120" w:after="120"/>
              <w:jc w:val="both"/>
              <w:rPr>
                <w:rFonts w:cs="Arial"/>
                <w:sz w:val="19"/>
                <w:szCs w:val="19"/>
                <w:lang w:eastAsia="fr-CA"/>
              </w:rPr>
            </w:pPr>
            <w:r w:rsidRPr="002631AE">
              <w:rPr>
                <w:rFonts w:cs="Arial"/>
                <w:sz w:val="19"/>
                <w:szCs w:val="19"/>
              </w:rPr>
              <w:t xml:space="preserve">La rareté matérielle des archives est liée à la nature du support sur lequel elles ont été consignées. Par exemple, un support rare est celui qui se distingue par son caractère inusité et qui se retrouve rarement dans les fonds et les collections, ou dont l’usage est devenu peu commun, voire obsolète. </w:t>
            </w:r>
          </w:p>
        </w:tc>
      </w:tr>
      <w:tr w:rsidR="00F32F3B" w:rsidRPr="002631AE" w14:paraId="18067863" w14:textId="77777777" w:rsidTr="002631AE">
        <w:trPr>
          <w:trHeight w:val="252"/>
        </w:trPr>
        <w:tc>
          <w:tcPr>
            <w:tcW w:w="2340" w:type="dxa"/>
            <w:tcBorders>
              <w:bottom w:val="single" w:sz="4" w:space="0" w:color="auto"/>
            </w:tcBorders>
          </w:tcPr>
          <w:p w14:paraId="299523D8" w14:textId="77777777" w:rsidR="00F32F3B" w:rsidRPr="002631AE" w:rsidRDefault="00F32F3B" w:rsidP="006613C9">
            <w:pPr>
              <w:spacing w:before="120" w:after="120"/>
              <w:ind w:left="252" w:hanging="252"/>
              <w:rPr>
                <w:rFonts w:cs="Arial"/>
                <w:sz w:val="19"/>
                <w:szCs w:val="19"/>
              </w:rPr>
            </w:pPr>
            <w:r w:rsidRPr="002631AE">
              <w:rPr>
                <w:rFonts w:cs="Arial"/>
                <w:sz w:val="19"/>
                <w:szCs w:val="19"/>
              </w:rPr>
              <w:t>2.  Rareté informationnelle</w:t>
            </w:r>
          </w:p>
          <w:p w14:paraId="598CDAB4" w14:textId="77777777" w:rsidR="00F32F3B" w:rsidRPr="002631AE" w:rsidRDefault="00F32F3B" w:rsidP="006613C9">
            <w:pPr>
              <w:spacing w:before="120" w:after="120"/>
              <w:ind w:left="252" w:hanging="252"/>
              <w:jc w:val="right"/>
              <w:rPr>
                <w:rFonts w:cs="Arial"/>
                <w:sz w:val="19"/>
                <w:szCs w:val="19"/>
              </w:rPr>
            </w:pPr>
          </w:p>
        </w:tc>
        <w:tc>
          <w:tcPr>
            <w:tcW w:w="6408" w:type="dxa"/>
            <w:tcBorders>
              <w:bottom w:val="single" w:sz="4" w:space="0" w:color="auto"/>
            </w:tcBorders>
          </w:tcPr>
          <w:p w14:paraId="0BAEFEF0" w14:textId="77777777" w:rsidR="00F32F3B" w:rsidRPr="002631AE" w:rsidRDefault="00F32F3B" w:rsidP="006613C9">
            <w:pPr>
              <w:spacing w:before="120" w:after="120"/>
              <w:jc w:val="both"/>
              <w:rPr>
                <w:rFonts w:cs="Arial"/>
                <w:sz w:val="19"/>
                <w:szCs w:val="19"/>
              </w:rPr>
            </w:pPr>
            <w:r w:rsidRPr="002631AE">
              <w:rPr>
                <w:rFonts w:cs="Arial"/>
                <w:sz w:val="19"/>
                <w:szCs w:val="19"/>
              </w:rPr>
              <w:t>La rareté informationnelle des archives correspond à la rareté de l’information qu’elles contiennent et des thématiques particulières abordées dans leur contenu (</w:t>
            </w:r>
            <w:proofErr w:type="spellStart"/>
            <w:r w:rsidRPr="002631AE">
              <w:rPr>
                <w:rFonts w:cs="Arial"/>
                <w:sz w:val="19"/>
                <w:szCs w:val="19"/>
              </w:rPr>
              <w:t>Boles</w:t>
            </w:r>
            <w:proofErr w:type="spellEnd"/>
            <w:r w:rsidRPr="002631AE">
              <w:rPr>
                <w:rFonts w:cs="Arial"/>
                <w:sz w:val="19"/>
                <w:szCs w:val="19"/>
              </w:rPr>
              <w:t xml:space="preserve"> &amp; Young, 1991).</w:t>
            </w:r>
          </w:p>
          <w:p w14:paraId="537704F8" w14:textId="77777777" w:rsidR="00F32F3B" w:rsidRPr="002631AE" w:rsidRDefault="00F32F3B" w:rsidP="006613C9">
            <w:pPr>
              <w:spacing w:before="120" w:after="120"/>
              <w:jc w:val="both"/>
              <w:rPr>
                <w:rFonts w:cs="Arial"/>
                <w:sz w:val="19"/>
                <w:szCs w:val="19"/>
              </w:rPr>
            </w:pPr>
            <w:r w:rsidRPr="002631AE">
              <w:rPr>
                <w:rFonts w:cs="Arial"/>
                <w:sz w:val="19"/>
                <w:szCs w:val="19"/>
              </w:rPr>
              <w:t>Des archives ayant un contenu rare sont celles qui contiennent des informations dont la probabilité de les retrouver dans d’autres documents est faible (</w:t>
            </w:r>
            <w:proofErr w:type="spellStart"/>
            <w:r w:rsidRPr="002631AE">
              <w:rPr>
                <w:rFonts w:cs="Arial"/>
                <w:sz w:val="19"/>
                <w:szCs w:val="19"/>
              </w:rPr>
              <w:t>Menne-Haritz</w:t>
            </w:r>
            <w:proofErr w:type="spellEnd"/>
            <w:r w:rsidRPr="002631AE">
              <w:rPr>
                <w:rFonts w:cs="Arial"/>
                <w:sz w:val="19"/>
                <w:szCs w:val="19"/>
              </w:rPr>
              <w:t>, 1994).</w:t>
            </w:r>
          </w:p>
        </w:tc>
      </w:tr>
      <w:tr w:rsidR="00F32F3B" w:rsidRPr="002631AE" w14:paraId="5D026E08" w14:textId="77777777" w:rsidTr="002631AE">
        <w:trPr>
          <w:trHeight w:val="288"/>
        </w:trPr>
        <w:tc>
          <w:tcPr>
            <w:tcW w:w="2340" w:type="dxa"/>
            <w:tcBorders>
              <w:bottom w:val="single" w:sz="4" w:space="0" w:color="auto"/>
            </w:tcBorders>
          </w:tcPr>
          <w:p w14:paraId="4B451CB8" w14:textId="77777777" w:rsidR="00F32F3B" w:rsidRPr="002631AE" w:rsidRDefault="00F32F3B" w:rsidP="006613C9">
            <w:pPr>
              <w:spacing w:before="120" w:after="120"/>
              <w:ind w:left="252" w:hanging="252"/>
              <w:rPr>
                <w:rFonts w:cs="Arial"/>
                <w:sz w:val="19"/>
                <w:szCs w:val="19"/>
              </w:rPr>
            </w:pPr>
            <w:r w:rsidRPr="002631AE">
              <w:rPr>
                <w:rFonts w:cs="Arial"/>
                <w:sz w:val="19"/>
                <w:szCs w:val="19"/>
              </w:rPr>
              <w:t>3.</w:t>
            </w:r>
            <w:r w:rsidR="006613C9" w:rsidRPr="002631AE">
              <w:rPr>
                <w:rFonts w:cs="Arial"/>
                <w:sz w:val="19"/>
                <w:szCs w:val="19"/>
              </w:rPr>
              <w:tab/>
            </w:r>
            <w:r w:rsidRPr="002631AE">
              <w:rPr>
                <w:rFonts w:cs="Arial"/>
                <w:sz w:val="19"/>
                <w:szCs w:val="19"/>
              </w:rPr>
              <w:t>Rareté contextuelle</w:t>
            </w:r>
          </w:p>
        </w:tc>
        <w:tc>
          <w:tcPr>
            <w:tcW w:w="6408" w:type="dxa"/>
            <w:tcBorders>
              <w:bottom w:val="single" w:sz="4" w:space="0" w:color="auto"/>
            </w:tcBorders>
          </w:tcPr>
          <w:p w14:paraId="356BA5DF" w14:textId="77777777" w:rsidR="00F32F3B" w:rsidRPr="002631AE" w:rsidRDefault="00F32F3B" w:rsidP="006613C9">
            <w:pPr>
              <w:spacing w:before="120" w:after="120"/>
              <w:jc w:val="both"/>
              <w:rPr>
                <w:rFonts w:cs="Arial"/>
                <w:sz w:val="19"/>
                <w:szCs w:val="19"/>
              </w:rPr>
            </w:pPr>
            <w:r w:rsidRPr="002631AE">
              <w:rPr>
                <w:rFonts w:cs="Arial"/>
                <w:sz w:val="19"/>
                <w:szCs w:val="19"/>
              </w:rPr>
              <w:t>La rareté contextuelle correspond à la singularité d’un ou plusieurs aspects du contexte de création des archives (</w:t>
            </w:r>
            <w:proofErr w:type="spellStart"/>
            <w:r w:rsidRPr="002631AE">
              <w:rPr>
                <w:rFonts w:cs="Arial"/>
                <w:sz w:val="19"/>
                <w:szCs w:val="19"/>
              </w:rPr>
              <w:t>Boles</w:t>
            </w:r>
            <w:proofErr w:type="spellEnd"/>
            <w:r w:rsidRPr="002631AE">
              <w:rPr>
                <w:rFonts w:cs="Arial"/>
                <w:sz w:val="19"/>
                <w:szCs w:val="19"/>
              </w:rPr>
              <w:t xml:space="preserve"> &amp; Young, 1991).</w:t>
            </w:r>
          </w:p>
          <w:p w14:paraId="7DC72C7B" w14:textId="77777777" w:rsidR="00910C29" w:rsidRPr="002631AE" w:rsidRDefault="00F32F3B" w:rsidP="006613C9">
            <w:pPr>
              <w:spacing w:before="120" w:after="120"/>
              <w:jc w:val="both"/>
              <w:rPr>
                <w:rFonts w:cs="Arial"/>
                <w:sz w:val="19"/>
                <w:szCs w:val="19"/>
              </w:rPr>
            </w:pPr>
            <w:r w:rsidRPr="002631AE">
              <w:rPr>
                <w:rFonts w:cs="Arial"/>
                <w:sz w:val="19"/>
                <w:szCs w:val="19"/>
              </w:rPr>
              <w:t>La rareté par rapport au contexte de création des documents est d’une part leur date ou période de création ou encore</w:t>
            </w:r>
            <w:r w:rsidR="006C67B2" w:rsidRPr="002631AE">
              <w:rPr>
                <w:rFonts w:cs="Arial"/>
                <w:sz w:val="19"/>
                <w:szCs w:val="19"/>
              </w:rPr>
              <w:t xml:space="preserve">, </w:t>
            </w:r>
            <w:r w:rsidRPr="002631AE">
              <w:rPr>
                <w:rFonts w:cs="Arial"/>
                <w:sz w:val="19"/>
                <w:szCs w:val="19"/>
              </w:rPr>
              <w:t>l’occasion qui a permis leur création</w:t>
            </w:r>
            <w:r w:rsidR="006C67B2" w:rsidRPr="002631AE">
              <w:rPr>
                <w:rFonts w:cs="Arial"/>
                <w:sz w:val="19"/>
                <w:szCs w:val="19"/>
              </w:rPr>
              <w:t xml:space="preserve">, </w:t>
            </w:r>
            <w:r w:rsidRPr="002631AE">
              <w:rPr>
                <w:rFonts w:cs="Arial"/>
                <w:sz w:val="19"/>
                <w:szCs w:val="19"/>
              </w:rPr>
              <w:t>et d’autre part, la singularité des missions et des objectifs du producteur/créateur des documents (</w:t>
            </w:r>
            <w:proofErr w:type="spellStart"/>
            <w:r w:rsidRPr="002631AE">
              <w:rPr>
                <w:rFonts w:cs="Arial"/>
                <w:sz w:val="19"/>
                <w:szCs w:val="19"/>
              </w:rPr>
              <w:t>Boles</w:t>
            </w:r>
            <w:proofErr w:type="spellEnd"/>
            <w:r w:rsidRPr="002631AE">
              <w:rPr>
                <w:rFonts w:cs="Arial"/>
                <w:sz w:val="19"/>
                <w:szCs w:val="19"/>
              </w:rPr>
              <w:t xml:space="preserve"> &amp; Young, 1991).</w:t>
            </w:r>
          </w:p>
        </w:tc>
      </w:tr>
    </w:tbl>
    <w:p w14:paraId="414412C8" w14:textId="77777777" w:rsidR="0007620C" w:rsidRPr="00CF35BC" w:rsidRDefault="0007620C" w:rsidP="00E37FB8">
      <w:pPr>
        <w:ind w:left="360"/>
        <w:contextualSpacing/>
        <w:jc w:val="both"/>
        <w:rPr>
          <w:rFonts w:cs="Arial"/>
          <w:sz w:val="21"/>
          <w:szCs w:val="21"/>
        </w:rPr>
      </w:pPr>
    </w:p>
    <w:p w14:paraId="6B914F61" w14:textId="77777777" w:rsidR="0007620C" w:rsidRPr="00CF35BC" w:rsidRDefault="0007620C">
      <w:pPr>
        <w:spacing w:after="200" w:line="276" w:lineRule="auto"/>
        <w:rPr>
          <w:rFonts w:cs="Arial"/>
          <w:sz w:val="21"/>
          <w:szCs w:val="21"/>
        </w:rPr>
      </w:pPr>
      <w:r w:rsidRPr="00CF35BC">
        <w:rPr>
          <w:rFonts w:cs="Arial"/>
          <w:sz w:val="21"/>
          <w:szCs w:val="21"/>
        </w:rPr>
        <w:br w:type="page"/>
      </w:r>
    </w:p>
    <w:p w14:paraId="409F3C71" w14:textId="77777777" w:rsidR="00E37FB8" w:rsidRPr="00CF35BC" w:rsidRDefault="00E37FB8" w:rsidP="005D4F0A">
      <w:pPr>
        <w:numPr>
          <w:ilvl w:val="0"/>
          <w:numId w:val="2"/>
        </w:numPr>
        <w:tabs>
          <w:tab w:val="left" w:pos="540"/>
        </w:tabs>
        <w:spacing w:before="480"/>
        <w:ind w:left="540" w:hanging="540"/>
        <w:jc w:val="both"/>
        <w:rPr>
          <w:rFonts w:cs="Arial"/>
          <w:b/>
          <w:sz w:val="21"/>
          <w:szCs w:val="21"/>
        </w:rPr>
      </w:pPr>
      <w:r w:rsidRPr="00CF35BC">
        <w:rPr>
          <w:rFonts w:cs="Arial"/>
          <w:b/>
          <w:sz w:val="21"/>
          <w:szCs w:val="21"/>
        </w:rPr>
        <w:lastRenderedPageBreak/>
        <w:t>La preuve crédible</w:t>
      </w:r>
    </w:p>
    <w:p w14:paraId="37DE8CCC" w14:textId="77777777" w:rsidR="006613C9" w:rsidRDefault="006613C9" w:rsidP="00B010EA">
      <w:pPr>
        <w:ind w:left="360"/>
        <w:contextualSpacing/>
        <w:jc w:val="both"/>
        <w:rPr>
          <w:rFonts w:cs="Arial"/>
          <w:sz w:val="21"/>
          <w:szCs w:val="21"/>
        </w:rPr>
      </w:pPr>
    </w:p>
    <w:p w14:paraId="6FCC4E77" w14:textId="77777777" w:rsidR="00B010EA" w:rsidRPr="00CF35BC" w:rsidRDefault="00B010EA" w:rsidP="002631AE">
      <w:pPr>
        <w:contextualSpacing/>
        <w:jc w:val="both"/>
        <w:rPr>
          <w:rFonts w:cs="Arial"/>
          <w:sz w:val="21"/>
          <w:szCs w:val="21"/>
        </w:rPr>
      </w:pPr>
      <w:r w:rsidRPr="00CF35BC">
        <w:rPr>
          <w:rFonts w:cs="Arial"/>
          <w:sz w:val="21"/>
          <w:szCs w:val="21"/>
        </w:rPr>
        <w:t>Capacité d’un document d’archives, tant au point de vue de son support, de son contenu que de son producteur/créateur, à gagner la confiance de son utilisateur comme étant la source privilégiée à l’appui des faits. Cette qualité repose sur 1) l’authenticité; 2) la fiabilité et 3) l’intégrité.</w:t>
      </w:r>
    </w:p>
    <w:p w14:paraId="0BEB1BB4" w14:textId="77777777" w:rsidR="00910C29" w:rsidRPr="00CF35BC" w:rsidRDefault="00910C29" w:rsidP="00B010EA">
      <w:pPr>
        <w:ind w:left="360"/>
        <w:contextualSpacing/>
        <w:jc w:val="both"/>
        <w:rPr>
          <w:rFonts w:cs="Arial"/>
          <w:sz w:val="21"/>
          <w:szCs w:val="21"/>
        </w:rPr>
      </w:pPr>
    </w:p>
    <w:tbl>
      <w:tblPr>
        <w:tblStyle w:val="Grilledutableau13"/>
        <w:tblW w:w="0" w:type="auto"/>
        <w:tblInd w:w="108" w:type="dxa"/>
        <w:tblLook w:val="04A0" w:firstRow="1" w:lastRow="0" w:firstColumn="1" w:lastColumn="0" w:noHBand="0" w:noVBand="1"/>
      </w:tblPr>
      <w:tblGrid>
        <w:gridCol w:w="2309"/>
        <w:gridCol w:w="6213"/>
      </w:tblGrid>
      <w:tr w:rsidR="00910C29" w:rsidRPr="001122AB" w14:paraId="712B83A7" w14:textId="77777777" w:rsidTr="002631AE">
        <w:trPr>
          <w:trHeight w:val="1997"/>
        </w:trPr>
        <w:tc>
          <w:tcPr>
            <w:tcW w:w="2340" w:type="dxa"/>
          </w:tcPr>
          <w:p w14:paraId="55926E3A" w14:textId="77777777" w:rsidR="006613C9" w:rsidRPr="001122AB" w:rsidRDefault="00910C29" w:rsidP="006613C9">
            <w:pPr>
              <w:spacing w:before="120" w:after="120"/>
              <w:ind w:left="252" w:hanging="252"/>
              <w:jc w:val="both"/>
              <w:rPr>
                <w:rFonts w:cs="Arial"/>
                <w:sz w:val="19"/>
                <w:szCs w:val="19"/>
              </w:rPr>
            </w:pPr>
            <w:r w:rsidRPr="001122AB">
              <w:rPr>
                <w:rFonts w:cs="Arial"/>
                <w:sz w:val="19"/>
                <w:szCs w:val="19"/>
              </w:rPr>
              <w:t>1.</w:t>
            </w:r>
            <w:r w:rsidR="006613C9" w:rsidRPr="001122AB">
              <w:rPr>
                <w:rFonts w:cs="Arial"/>
                <w:sz w:val="19"/>
                <w:szCs w:val="19"/>
              </w:rPr>
              <w:tab/>
            </w:r>
            <w:r w:rsidRPr="001122AB">
              <w:rPr>
                <w:rFonts w:cs="Arial"/>
                <w:sz w:val="19"/>
                <w:szCs w:val="19"/>
              </w:rPr>
              <w:t>Authenticité</w:t>
            </w:r>
          </w:p>
          <w:p w14:paraId="6D9B9CDB" w14:textId="77777777" w:rsidR="00910C29" w:rsidRPr="001122AB" w:rsidRDefault="00910C29" w:rsidP="006613C9">
            <w:pPr>
              <w:ind w:left="252" w:hanging="252"/>
              <w:rPr>
                <w:rFonts w:cs="Arial"/>
                <w:sz w:val="19"/>
                <w:szCs w:val="19"/>
              </w:rPr>
            </w:pPr>
          </w:p>
        </w:tc>
        <w:tc>
          <w:tcPr>
            <w:tcW w:w="6408" w:type="dxa"/>
          </w:tcPr>
          <w:p w14:paraId="05DD6C15" w14:textId="77777777" w:rsidR="00910C29" w:rsidRPr="001122AB" w:rsidRDefault="00910C29" w:rsidP="006613C9">
            <w:pPr>
              <w:spacing w:before="120" w:after="120"/>
              <w:jc w:val="both"/>
              <w:rPr>
                <w:rFonts w:cs="Arial"/>
                <w:sz w:val="19"/>
                <w:szCs w:val="19"/>
              </w:rPr>
            </w:pPr>
            <w:r w:rsidRPr="001122AB">
              <w:rPr>
                <w:rFonts w:cs="Arial"/>
                <w:sz w:val="19"/>
                <w:szCs w:val="19"/>
              </w:rPr>
              <w:t xml:space="preserve">Qualité des documents d’archives qui réside dans leur naturalité, c'est-à-dire dans le fait que celles-ci sont bel et bien ce qu’elles prétendent être (Organisation internationale de normalisation, 2001a; </w:t>
            </w:r>
            <w:proofErr w:type="spellStart"/>
            <w:r w:rsidRPr="001122AB">
              <w:rPr>
                <w:rFonts w:cs="Arial"/>
                <w:sz w:val="19"/>
                <w:szCs w:val="19"/>
              </w:rPr>
              <w:t>InterPARES</w:t>
            </w:r>
            <w:proofErr w:type="spellEnd"/>
            <w:r w:rsidRPr="001122AB">
              <w:rPr>
                <w:rFonts w:cs="Arial"/>
                <w:sz w:val="19"/>
                <w:szCs w:val="19"/>
              </w:rPr>
              <w:t xml:space="preserve"> 2 </w:t>
            </w:r>
            <w:proofErr w:type="spellStart"/>
            <w:r w:rsidRPr="001122AB">
              <w:rPr>
                <w:rFonts w:cs="Arial"/>
                <w:sz w:val="19"/>
                <w:szCs w:val="19"/>
              </w:rPr>
              <w:t>Terminology</w:t>
            </w:r>
            <w:proofErr w:type="spellEnd"/>
            <w:r w:rsidRPr="001122AB">
              <w:rPr>
                <w:rFonts w:cs="Arial"/>
                <w:sz w:val="19"/>
                <w:szCs w:val="19"/>
              </w:rPr>
              <w:t xml:space="preserve"> </w:t>
            </w:r>
            <w:proofErr w:type="spellStart"/>
            <w:r w:rsidRPr="001122AB">
              <w:rPr>
                <w:rFonts w:cs="Arial"/>
                <w:sz w:val="19"/>
                <w:szCs w:val="19"/>
              </w:rPr>
              <w:t>Database</w:t>
            </w:r>
            <w:proofErr w:type="spellEnd"/>
            <w:r w:rsidRPr="001122AB">
              <w:rPr>
                <w:rFonts w:cs="Arial"/>
                <w:sz w:val="19"/>
                <w:szCs w:val="19"/>
              </w:rPr>
              <w:t xml:space="preserve">, 2010). </w:t>
            </w:r>
          </w:p>
          <w:p w14:paraId="1A88121C" w14:textId="77777777" w:rsidR="00910C29" w:rsidRPr="001122AB" w:rsidRDefault="00910C29" w:rsidP="006613C9">
            <w:pPr>
              <w:spacing w:before="120" w:after="120"/>
              <w:jc w:val="both"/>
              <w:rPr>
                <w:rFonts w:cs="Arial"/>
                <w:sz w:val="19"/>
                <w:szCs w:val="19"/>
              </w:rPr>
            </w:pPr>
            <w:r w:rsidRPr="001122AB">
              <w:rPr>
                <w:rFonts w:cs="Arial"/>
                <w:sz w:val="19"/>
                <w:szCs w:val="19"/>
              </w:rPr>
              <w:t>L’authenticité des documents d’archives définitives est liée à deux indicateurs, soit d’une part, l’identité exclusive des documents et d’autre part, l’intégrité du format.</w:t>
            </w:r>
          </w:p>
        </w:tc>
      </w:tr>
      <w:tr w:rsidR="00866E22" w:rsidRPr="001122AB" w14:paraId="2E7D48A3" w14:textId="77777777" w:rsidTr="005D6C65">
        <w:trPr>
          <w:trHeight w:val="1691"/>
        </w:trPr>
        <w:tc>
          <w:tcPr>
            <w:tcW w:w="2340" w:type="dxa"/>
          </w:tcPr>
          <w:p w14:paraId="2D668273" w14:textId="77777777" w:rsidR="00866E22" w:rsidRPr="005D6C65" w:rsidRDefault="00866E22" w:rsidP="005D4F0A">
            <w:pPr>
              <w:spacing w:before="120" w:after="120"/>
              <w:rPr>
                <w:rFonts w:cs="Arial"/>
                <w:sz w:val="19"/>
                <w:szCs w:val="19"/>
              </w:rPr>
            </w:pPr>
            <w:r w:rsidRPr="005D6C65">
              <w:rPr>
                <w:rFonts w:cs="Arial"/>
                <w:sz w:val="19"/>
                <w:szCs w:val="19"/>
              </w:rPr>
              <w:t xml:space="preserve">2. Fiabilité </w:t>
            </w:r>
            <w:r w:rsidRPr="005D6C65">
              <w:rPr>
                <w:rFonts w:cs="Arial"/>
                <w:sz w:val="19"/>
                <w:szCs w:val="19"/>
              </w:rPr>
              <w:tab/>
            </w:r>
          </w:p>
          <w:p w14:paraId="50A73517" w14:textId="77777777" w:rsidR="00866E22" w:rsidRPr="005D6C65" w:rsidRDefault="00866E22" w:rsidP="005D4F0A">
            <w:pPr>
              <w:spacing w:before="120" w:after="120"/>
              <w:ind w:left="252" w:hanging="252"/>
              <w:jc w:val="both"/>
              <w:rPr>
                <w:rFonts w:cs="Arial"/>
                <w:sz w:val="19"/>
                <w:szCs w:val="19"/>
              </w:rPr>
            </w:pPr>
          </w:p>
        </w:tc>
        <w:tc>
          <w:tcPr>
            <w:tcW w:w="6408" w:type="dxa"/>
          </w:tcPr>
          <w:p w14:paraId="39AC9FDA" w14:textId="77777777" w:rsidR="00866E22" w:rsidRPr="005D6C65" w:rsidRDefault="00866E22" w:rsidP="005D4F0A">
            <w:pPr>
              <w:spacing w:before="120" w:after="120"/>
              <w:jc w:val="both"/>
              <w:rPr>
                <w:rFonts w:cs="Arial"/>
                <w:sz w:val="19"/>
                <w:szCs w:val="19"/>
              </w:rPr>
            </w:pPr>
            <w:r w:rsidRPr="005D6C65">
              <w:rPr>
                <w:rFonts w:cs="Arial"/>
                <w:sz w:val="19"/>
                <w:szCs w:val="19"/>
              </w:rPr>
              <w:t>La fiabilité d’un document d’archives est liée à deux éléments : 1) le contexte de production des archives avec ses deux composantes à savoir la rigueur des procédures de création et la fiabilité du producteur (</w:t>
            </w:r>
            <w:proofErr w:type="spellStart"/>
            <w:r w:rsidRPr="005D6C65">
              <w:rPr>
                <w:rFonts w:cs="Arial"/>
                <w:sz w:val="19"/>
                <w:szCs w:val="19"/>
              </w:rPr>
              <w:t>Boles</w:t>
            </w:r>
            <w:proofErr w:type="spellEnd"/>
            <w:r w:rsidRPr="005D6C65">
              <w:rPr>
                <w:rFonts w:cs="Arial"/>
                <w:sz w:val="19"/>
                <w:szCs w:val="19"/>
              </w:rPr>
              <w:t xml:space="preserve"> &amp; Young, 1991) et 2) la complétude des documents (</w:t>
            </w:r>
            <w:proofErr w:type="spellStart"/>
            <w:r w:rsidRPr="005D6C65">
              <w:rPr>
                <w:rFonts w:cs="Arial"/>
                <w:sz w:val="19"/>
                <w:szCs w:val="19"/>
              </w:rPr>
              <w:t>Boles</w:t>
            </w:r>
            <w:proofErr w:type="spellEnd"/>
            <w:r w:rsidRPr="005D6C65">
              <w:rPr>
                <w:rFonts w:cs="Arial"/>
                <w:sz w:val="19"/>
                <w:szCs w:val="19"/>
              </w:rPr>
              <w:t xml:space="preserve"> &amp; Young, 1991; </w:t>
            </w:r>
            <w:proofErr w:type="spellStart"/>
            <w:r w:rsidRPr="005D6C65">
              <w:rPr>
                <w:rFonts w:cs="Arial"/>
                <w:sz w:val="19"/>
                <w:szCs w:val="19"/>
              </w:rPr>
              <w:t>InterPARES</w:t>
            </w:r>
            <w:proofErr w:type="spellEnd"/>
            <w:r w:rsidRPr="005D6C65">
              <w:rPr>
                <w:rFonts w:cs="Arial"/>
                <w:sz w:val="19"/>
                <w:szCs w:val="19"/>
              </w:rPr>
              <w:t xml:space="preserve"> 2 </w:t>
            </w:r>
            <w:proofErr w:type="spellStart"/>
            <w:r w:rsidRPr="005D6C65">
              <w:rPr>
                <w:rFonts w:cs="Arial"/>
                <w:sz w:val="19"/>
                <w:szCs w:val="19"/>
              </w:rPr>
              <w:t>Terminology</w:t>
            </w:r>
            <w:proofErr w:type="spellEnd"/>
            <w:r w:rsidRPr="005D6C65">
              <w:rPr>
                <w:rFonts w:cs="Arial"/>
                <w:sz w:val="19"/>
                <w:szCs w:val="19"/>
              </w:rPr>
              <w:t xml:space="preserve"> </w:t>
            </w:r>
            <w:proofErr w:type="spellStart"/>
            <w:r w:rsidRPr="005D6C65">
              <w:rPr>
                <w:rFonts w:cs="Arial"/>
                <w:sz w:val="19"/>
                <w:szCs w:val="19"/>
              </w:rPr>
              <w:t>Database</w:t>
            </w:r>
            <w:proofErr w:type="spellEnd"/>
            <w:r w:rsidRPr="005D6C65">
              <w:rPr>
                <w:rFonts w:cs="Arial"/>
                <w:sz w:val="19"/>
                <w:szCs w:val="19"/>
              </w:rPr>
              <w:t>, 2010; chapitre 2, p. 75-76).</w:t>
            </w:r>
          </w:p>
        </w:tc>
      </w:tr>
      <w:tr w:rsidR="00910C29" w:rsidRPr="001122AB" w14:paraId="04B42D67" w14:textId="77777777" w:rsidTr="002631AE">
        <w:trPr>
          <w:trHeight w:val="531"/>
        </w:trPr>
        <w:tc>
          <w:tcPr>
            <w:tcW w:w="2340" w:type="dxa"/>
          </w:tcPr>
          <w:p w14:paraId="175851E9" w14:textId="77777777" w:rsidR="00910C29" w:rsidRPr="001122AB" w:rsidRDefault="00910C29" w:rsidP="006613C9">
            <w:pPr>
              <w:spacing w:before="120" w:after="120"/>
              <w:ind w:left="252" w:hanging="252"/>
              <w:jc w:val="both"/>
              <w:rPr>
                <w:rFonts w:cs="Arial"/>
                <w:sz w:val="19"/>
                <w:szCs w:val="19"/>
              </w:rPr>
            </w:pPr>
            <w:r w:rsidRPr="001122AB">
              <w:rPr>
                <w:rFonts w:cs="Arial"/>
                <w:sz w:val="19"/>
                <w:szCs w:val="19"/>
              </w:rPr>
              <w:t>3.</w:t>
            </w:r>
            <w:r w:rsidR="006613C9" w:rsidRPr="001122AB">
              <w:rPr>
                <w:rFonts w:cs="Arial"/>
                <w:sz w:val="19"/>
                <w:szCs w:val="19"/>
              </w:rPr>
              <w:tab/>
            </w:r>
            <w:r w:rsidRPr="001122AB">
              <w:rPr>
                <w:rFonts w:cs="Arial"/>
                <w:sz w:val="19"/>
                <w:szCs w:val="19"/>
              </w:rPr>
              <w:t>Intégrité</w:t>
            </w:r>
          </w:p>
        </w:tc>
        <w:tc>
          <w:tcPr>
            <w:tcW w:w="6408" w:type="dxa"/>
          </w:tcPr>
          <w:p w14:paraId="324B1011" w14:textId="77777777" w:rsidR="00910C29" w:rsidRPr="001122AB" w:rsidRDefault="00910C29" w:rsidP="006613C9">
            <w:pPr>
              <w:spacing w:before="120" w:after="120"/>
              <w:jc w:val="both"/>
              <w:rPr>
                <w:rFonts w:cs="Arial"/>
                <w:sz w:val="19"/>
                <w:szCs w:val="19"/>
              </w:rPr>
            </w:pPr>
            <w:r w:rsidRPr="001122AB">
              <w:rPr>
                <w:rFonts w:cs="Arial"/>
                <w:sz w:val="19"/>
                <w:szCs w:val="19"/>
              </w:rPr>
              <w:t>L’</w:t>
            </w:r>
            <w:r w:rsidRPr="001122AB">
              <w:rPr>
                <w:rFonts w:cs="Arial"/>
                <w:bCs/>
                <w:sz w:val="19"/>
                <w:szCs w:val="19"/>
              </w:rPr>
              <w:t>intégrité</w:t>
            </w:r>
            <w:r w:rsidRPr="001122AB">
              <w:rPr>
                <w:rFonts w:cs="Arial"/>
                <w:b/>
                <w:bCs/>
                <w:sz w:val="19"/>
                <w:szCs w:val="19"/>
              </w:rPr>
              <w:t xml:space="preserve"> </w:t>
            </w:r>
            <w:r w:rsidRPr="001122AB">
              <w:rPr>
                <w:rFonts w:cs="Arial"/>
                <w:sz w:val="19"/>
                <w:szCs w:val="19"/>
              </w:rPr>
              <w:t>d’un document d’archives est assurée lorsqu’on peut vérifier que 1) l’information est intégrale (complète) et n’a pas été altérée (modifiée) et que 2) le support de l’information lui assure stabilité (l’information ne risque pas de disparaître ou d’être illisible) et pérennité (perdure dans le temps). (</w:t>
            </w:r>
            <w:r w:rsidRPr="001122AB">
              <w:rPr>
                <w:rFonts w:cs="Arial"/>
                <w:i/>
                <w:sz w:val="19"/>
                <w:szCs w:val="19"/>
              </w:rPr>
              <w:t>Loi concernant le cadre juridique des technologies de l’information</w:t>
            </w:r>
            <w:r w:rsidRPr="001122AB">
              <w:rPr>
                <w:rFonts w:cs="Arial"/>
                <w:sz w:val="19"/>
                <w:szCs w:val="19"/>
              </w:rPr>
              <w:t>, RLRQ, C-1.1, 2001, art.6).</w:t>
            </w:r>
          </w:p>
        </w:tc>
      </w:tr>
    </w:tbl>
    <w:p w14:paraId="0F3E7800" w14:textId="77777777" w:rsidR="002631AE" w:rsidRDefault="002631AE" w:rsidP="002631AE">
      <w:pPr>
        <w:spacing w:before="480"/>
        <w:ind w:left="360"/>
        <w:jc w:val="both"/>
        <w:rPr>
          <w:rFonts w:cs="Arial"/>
          <w:b/>
          <w:sz w:val="21"/>
          <w:szCs w:val="21"/>
        </w:rPr>
      </w:pPr>
    </w:p>
    <w:p w14:paraId="6A8E5896" w14:textId="77777777" w:rsidR="00866E22" w:rsidRPr="00866E22" w:rsidRDefault="00866E22" w:rsidP="00866E22">
      <w:pPr>
        <w:spacing w:after="200" w:line="276" w:lineRule="auto"/>
        <w:rPr>
          <w:rFonts w:cs="Arial"/>
          <w:b/>
          <w:sz w:val="21"/>
          <w:szCs w:val="21"/>
        </w:rPr>
      </w:pPr>
    </w:p>
    <w:p w14:paraId="71E9625B" w14:textId="77777777" w:rsidR="002631AE" w:rsidRDefault="002631AE">
      <w:pPr>
        <w:spacing w:after="200" w:line="276" w:lineRule="auto"/>
        <w:rPr>
          <w:rFonts w:cs="Arial"/>
          <w:b/>
          <w:sz w:val="21"/>
          <w:szCs w:val="21"/>
        </w:rPr>
      </w:pPr>
      <w:r>
        <w:rPr>
          <w:rFonts w:cs="Arial"/>
          <w:b/>
          <w:sz w:val="21"/>
          <w:szCs w:val="21"/>
        </w:rPr>
        <w:br w:type="page"/>
      </w:r>
    </w:p>
    <w:p w14:paraId="216F4488" w14:textId="77777777" w:rsidR="00B010EA" w:rsidRPr="00CF35BC" w:rsidRDefault="00B010EA" w:rsidP="005D4F0A">
      <w:pPr>
        <w:numPr>
          <w:ilvl w:val="0"/>
          <w:numId w:val="2"/>
        </w:numPr>
        <w:tabs>
          <w:tab w:val="left" w:pos="540"/>
        </w:tabs>
        <w:spacing w:before="480"/>
        <w:ind w:left="540" w:hanging="540"/>
        <w:jc w:val="both"/>
        <w:rPr>
          <w:rFonts w:cs="Arial"/>
          <w:b/>
          <w:sz w:val="21"/>
          <w:szCs w:val="21"/>
        </w:rPr>
      </w:pPr>
      <w:r w:rsidRPr="00CF35BC">
        <w:rPr>
          <w:rFonts w:cs="Arial"/>
          <w:b/>
          <w:sz w:val="21"/>
          <w:szCs w:val="21"/>
        </w:rPr>
        <w:lastRenderedPageBreak/>
        <w:t>La communicabilité</w:t>
      </w:r>
    </w:p>
    <w:p w14:paraId="44A4D878" w14:textId="77777777" w:rsidR="008A14EB" w:rsidRPr="00CF35BC" w:rsidRDefault="008A14EB" w:rsidP="00E37FB8">
      <w:pPr>
        <w:contextualSpacing/>
        <w:jc w:val="both"/>
        <w:rPr>
          <w:rFonts w:cs="Arial"/>
          <w:b/>
          <w:sz w:val="21"/>
          <w:szCs w:val="21"/>
        </w:rPr>
      </w:pPr>
    </w:p>
    <w:p w14:paraId="03113CE1" w14:textId="77777777" w:rsidR="00B010EA" w:rsidRDefault="00B010EA" w:rsidP="007D5303">
      <w:pPr>
        <w:contextualSpacing/>
        <w:jc w:val="both"/>
        <w:rPr>
          <w:rFonts w:cs="Arial"/>
          <w:sz w:val="21"/>
          <w:szCs w:val="21"/>
        </w:rPr>
      </w:pPr>
      <w:r w:rsidRPr="00CF35BC">
        <w:rPr>
          <w:rFonts w:cs="Arial"/>
          <w:sz w:val="21"/>
          <w:szCs w:val="21"/>
        </w:rPr>
        <w:t xml:space="preserve">Cette dimension regroupe les aspects susceptibles de faciliter et de promouvoir la communicabilité des archives. Elle repose sur trois sortes d’accessibilité : 1) cognitive, soit l’accès au contenu des archives et à leur contexte de création par un niveau de traitement et d’indexation adéquat; 2) juridique, soit l’accès au contenu des archives en vertu d’une communicabilité légale ou réglementaire; et 3) matérielle, </w:t>
      </w:r>
      <w:r w:rsidR="00524756">
        <w:rPr>
          <w:rFonts w:cs="Arial"/>
          <w:sz w:val="21"/>
          <w:szCs w:val="21"/>
        </w:rPr>
        <w:t>soient</w:t>
      </w:r>
      <w:r w:rsidRPr="00CF35BC">
        <w:rPr>
          <w:rFonts w:cs="Arial"/>
          <w:sz w:val="21"/>
          <w:szCs w:val="21"/>
        </w:rPr>
        <w:t xml:space="preserve"> les mesures nécessaires (infrastructures et équipements) à mettre en place pour assurer l’accès et la lisibilité des archives.</w:t>
      </w:r>
    </w:p>
    <w:p w14:paraId="47592994" w14:textId="77777777" w:rsidR="007D5303" w:rsidRPr="00CF35BC" w:rsidRDefault="007D5303" w:rsidP="007D5303">
      <w:pPr>
        <w:contextualSpacing/>
        <w:jc w:val="both"/>
        <w:rPr>
          <w:rFonts w:cs="Arial"/>
          <w:sz w:val="21"/>
          <w:szCs w:val="21"/>
        </w:rPr>
      </w:pPr>
    </w:p>
    <w:tbl>
      <w:tblPr>
        <w:tblStyle w:val="Grilledutableau14"/>
        <w:tblW w:w="0" w:type="auto"/>
        <w:tblInd w:w="108" w:type="dxa"/>
        <w:tblLook w:val="04A0" w:firstRow="1" w:lastRow="0" w:firstColumn="1" w:lastColumn="0" w:noHBand="0" w:noVBand="1"/>
      </w:tblPr>
      <w:tblGrid>
        <w:gridCol w:w="2395"/>
        <w:gridCol w:w="6127"/>
      </w:tblGrid>
      <w:tr w:rsidR="002B591A" w:rsidRPr="002631AE" w14:paraId="48D34994" w14:textId="77777777" w:rsidTr="002631AE">
        <w:trPr>
          <w:trHeight w:val="2456"/>
        </w:trPr>
        <w:tc>
          <w:tcPr>
            <w:tcW w:w="2430" w:type="dxa"/>
            <w:tcBorders>
              <w:bottom w:val="nil"/>
            </w:tcBorders>
          </w:tcPr>
          <w:p w14:paraId="429CE231" w14:textId="77777777" w:rsidR="002B591A" w:rsidRPr="002631AE" w:rsidRDefault="002B591A" w:rsidP="007D5303">
            <w:pPr>
              <w:spacing w:before="120" w:after="120"/>
              <w:ind w:left="252" w:hanging="252"/>
              <w:rPr>
                <w:rFonts w:cs="Arial"/>
                <w:sz w:val="19"/>
                <w:szCs w:val="19"/>
              </w:rPr>
            </w:pPr>
            <w:r w:rsidRPr="002631AE">
              <w:rPr>
                <w:rFonts w:cs="Arial"/>
                <w:sz w:val="19"/>
                <w:szCs w:val="19"/>
              </w:rPr>
              <w:t>1.</w:t>
            </w:r>
            <w:r w:rsidR="007D5303" w:rsidRPr="002631AE">
              <w:rPr>
                <w:rFonts w:cs="Arial"/>
                <w:sz w:val="19"/>
                <w:szCs w:val="19"/>
              </w:rPr>
              <w:tab/>
            </w:r>
            <w:r w:rsidRPr="002631AE">
              <w:rPr>
                <w:rFonts w:cs="Arial"/>
                <w:sz w:val="19"/>
                <w:szCs w:val="19"/>
              </w:rPr>
              <w:t>Accessibilité cognitive</w:t>
            </w:r>
          </w:p>
          <w:p w14:paraId="179E50F6" w14:textId="77777777" w:rsidR="002B591A" w:rsidRPr="002631AE" w:rsidRDefault="002B591A" w:rsidP="007D5303">
            <w:pPr>
              <w:spacing w:before="120" w:after="120"/>
              <w:ind w:left="252" w:hanging="252"/>
              <w:jc w:val="both"/>
              <w:rPr>
                <w:rFonts w:cs="Arial"/>
                <w:sz w:val="19"/>
                <w:szCs w:val="19"/>
              </w:rPr>
            </w:pPr>
          </w:p>
        </w:tc>
        <w:tc>
          <w:tcPr>
            <w:tcW w:w="6318" w:type="dxa"/>
            <w:tcBorders>
              <w:bottom w:val="nil"/>
            </w:tcBorders>
          </w:tcPr>
          <w:p w14:paraId="2F94BB12" w14:textId="77777777" w:rsidR="002B591A" w:rsidRPr="002631AE" w:rsidRDefault="002B591A" w:rsidP="007D5303">
            <w:pPr>
              <w:spacing w:before="120" w:after="120"/>
              <w:jc w:val="both"/>
              <w:rPr>
                <w:rFonts w:cs="Arial"/>
                <w:sz w:val="19"/>
                <w:szCs w:val="19"/>
              </w:rPr>
            </w:pPr>
            <w:r w:rsidRPr="002631AE">
              <w:rPr>
                <w:rFonts w:cs="Arial"/>
                <w:sz w:val="19"/>
                <w:szCs w:val="19"/>
              </w:rPr>
              <w:t>Facilité d’accéder au contenu des archives et à leur contexte de création. Elle repose sur l’</w:t>
            </w:r>
            <w:proofErr w:type="spellStart"/>
            <w:r w:rsidRPr="002631AE">
              <w:rPr>
                <w:rFonts w:cs="Arial"/>
                <w:sz w:val="19"/>
                <w:szCs w:val="19"/>
              </w:rPr>
              <w:t>identifiabilité</w:t>
            </w:r>
            <w:proofErr w:type="spellEnd"/>
            <w:r w:rsidRPr="002631AE">
              <w:rPr>
                <w:rFonts w:cs="Arial"/>
                <w:sz w:val="19"/>
                <w:szCs w:val="19"/>
              </w:rPr>
              <w:t xml:space="preserve"> de ces dernières, sur leur contextualité ainsi que sur leur compréhensibilité (</w:t>
            </w:r>
            <w:proofErr w:type="spellStart"/>
            <w:r w:rsidRPr="002631AE">
              <w:rPr>
                <w:rFonts w:cs="Arial"/>
                <w:sz w:val="19"/>
                <w:szCs w:val="19"/>
              </w:rPr>
              <w:t>Boles</w:t>
            </w:r>
            <w:proofErr w:type="spellEnd"/>
            <w:r w:rsidRPr="002631AE">
              <w:rPr>
                <w:rFonts w:cs="Arial"/>
                <w:sz w:val="19"/>
                <w:szCs w:val="19"/>
              </w:rPr>
              <w:t xml:space="preserve"> et Young, 1991). </w:t>
            </w:r>
          </w:p>
          <w:p w14:paraId="77D962E0" w14:textId="77777777" w:rsidR="002B591A" w:rsidRPr="002631AE" w:rsidRDefault="002B591A" w:rsidP="007D5303">
            <w:pPr>
              <w:spacing w:before="120" w:after="120"/>
              <w:jc w:val="both"/>
              <w:rPr>
                <w:rFonts w:cs="Arial"/>
                <w:sz w:val="19"/>
                <w:szCs w:val="19"/>
              </w:rPr>
            </w:pPr>
            <w:proofErr w:type="spellStart"/>
            <w:r w:rsidRPr="002631AE">
              <w:rPr>
                <w:rFonts w:cs="Arial"/>
                <w:sz w:val="19"/>
                <w:szCs w:val="19"/>
              </w:rPr>
              <w:t>Identifiabilité</w:t>
            </w:r>
            <w:proofErr w:type="spellEnd"/>
            <w:r w:rsidRPr="002631AE">
              <w:rPr>
                <w:rFonts w:cs="Arial"/>
                <w:sz w:val="19"/>
                <w:szCs w:val="19"/>
              </w:rPr>
              <w:t xml:space="preserve"> : </w:t>
            </w:r>
          </w:p>
          <w:p w14:paraId="69B31433" w14:textId="77777777" w:rsidR="002B591A" w:rsidRDefault="002B591A" w:rsidP="007D5303">
            <w:pPr>
              <w:spacing w:before="120" w:after="120"/>
              <w:jc w:val="both"/>
              <w:rPr>
                <w:rFonts w:cs="Arial"/>
                <w:sz w:val="19"/>
                <w:szCs w:val="19"/>
              </w:rPr>
            </w:pPr>
            <w:r w:rsidRPr="002631AE">
              <w:rPr>
                <w:rFonts w:cs="Arial"/>
                <w:sz w:val="19"/>
                <w:szCs w:val="19"/>
              </w:rPr>
              <w:t>Possibilité et facilité d’identifier des archives à partir de deux éléments, soit d’une part la structure classificatoire logique qui sert à organiser intellectuellement les documents (Schellenberg, 1965), tel le plan de classification, et d’autre part le titre attribué au dossier d’archives.</w:t>
            </w:r>
          </w:p>
          <w:p w14:paraId="161AC6DD" w14:textId="77777777" w:rsidR="002631AE" w:rsidRPr="002631AE" w:rsidRDefault="002631AE" w:rsidP="002631AE">
            <w:pPr>
              <w:spacing w:before="120" w:after="120"/>
              <w:jc w:val="both"/>
              <w:rPr>
                <w:rFonts w:cs="Arial"/>
                <w:sz w:val="19"/>
                <w:szCs w:val="19"/>
              </w:rPr>
            </w:pPr>
            <w:r w:rsidRPr="002631AE">
              <w:rPr>
                <w:rFonts w:cs="Arial"/>
                <w:sz w:val="19"/>
                <w:szCs w:val="19"/>
              </w:rPr>
              <w:t xml:space="preserve">Contextualité : </w:t>
            </w:r>
          </w:p>
          <w:p w14:paraId="1C4BDA10" w14:textId="77777777" w:rsidR="002631AE" w:rsidRDefault="002631AE" w:rsidP="007D5303">
            <w:pPr>
              <w:spacing w:before="120" w:after="120"/>
              <w:jc w:val="both"/>
              <w:rPr>
                <w:rFonts w:cs="Arial"/>
                <w:sz w:val="19"/>
                <w:szCs w:val="19"/>
              </w:rPr>
            </w:pPr>
            <w:r w:rsidRPr="002631AE">
              <w:rPr>
                <w:rFonts w:cs="Arial"/>
                <w:sz w:val="19"/>
                <w:szCs w:val="19"/>
              </w:rPr>
              <w:t>Compréhension et accès aux différents éléments du contexte de création et d’utilisation des archives (</w:t>
            </w:r>
            <w:proofErr w:type="spellStart"/>
            <w:r w:rsidRPr="002631AE">
              <w:rPr>
                <w:rFonts w:cs="Arial"/>
                <w:sz w:val="19"/>
                <w:szCs w:val="19"/>
              </w:rPr>
              <w:t>Senécal</w:t>
            </w:r>
            <w:proofErr w:type="spellEnd"/>
            <w:r w:rsidRPr="002631AE">
              <w:rPr>
                <w:rFonts w:cs="Arial"/>
                <w:sz w:val="19"/>
                <w:szCs w:val="19"/>
              </w:rPr>
              <w:t xml:space="preserve">, 1991; </w:t>
            </w:r>
            <w:proofErr w:type="spellStart"/>
            <w:r w:rsidRPr="002631AE">
              <w:rPr>
                <w:rFonts w:cs="Arial"/>
                <w:sz w:val="19"/>
                <w:szCs w:val="19"/>
              </w:rPr>
              <w:t>Menne-Haritz</w:t>
            </w:r>
            <w:proofErr w:type="spellEnd"/>
            <w:r w:rsidRPr="002631AE">
              <w:rPr>
                <w:rFonts w:cs="Arial"/>
                <w:sz w:val="19"/>
                <w:szCs w:val="19"/>
              </w:rPr>
              <w:t>, 1994) à partir des descriptions disponibles.</w:t>
            </w:r>
          </w:p>
          <w:p w14:paraId="24F9601F" w14:textId="77777777" w:rsidR="002631AE" w:rsidRPr="002631AE" w:rsidRDefault="002631AE" w:rsidP="002631AE">
            <w:pPr>
              <w:spacing w:before="120" w:after="120"/>
              <w:jc w:val="both"/>
              <w:rPr>
                <w:rFonts w:cs="Arial"/>
                <w:sz w:val="19"/>
                <w:szCs w:val="19"/>
              </w:rPr>
            </w:pPr>
            <w:r w:rsidRPr="002631AE">
              <w:rPr>
                <w:rFonts w:cs="Arial"/>
                <w:sz w:val="19"/>
                <w:szCs w:val="19"/>
              </w:rPr>
              <w:t xml:space="preserve">Compréhensibilité : </w:t>
            </w:r>
          </w:p>
          <w:p w14:paraId="0DE9439B" w14:textId="77777777" w:rsidR="002631AE" w:rsidRPr="002631AE" w:rsidRDefault="002631AE" w:rsidP="002631AE">
            <w:pPr>
              <w:spacing w:before="120" w:after="120"/>
              <w:jc w:val="both"/>
              <w:rPr>
                <w:rFonts w:cs="Arial"/>
                <w:sz w:val="19"/>
                <w:szCs w:val="19"/>
              </w:rPr>
            </w:pPr>
            <w:r w:rsidRPr="002631AE">
              <w:rPr>
                <w:rFonts w:cs="Arial"/>
                <w:sz w:val="19"/>
                <w:szCs w:val="19"/>
              </w:rPr>
              <w:t>Possibilité et facilité de comprendre le contenu des archives grâce à leur organicité (</w:t>
            </w:r>
            <w:proofErr w:type="spellStart"/>
            <w:r w:rsidRPr="002631AE">
              <w:rPr>
                <w:rFonts w:cs="Arial"/>
                <w:sz w:val="19"/>
                <w:szCs w:val="19"/>
              </w:rPr>
              <w:t>Boles</w:t>
            </w:r>
            <w:proofErr w:type="spellEnd"/>
            <w:r w:rsidRPr="002631AE">
              <w:rPr>
                <w:rFonts w:cs="Arial"/>
                <w:sz w:val="19"/>
                <w:szCs w:val="19"/>
              </w:rPr>
              <w:t xml:space="preserve"> et Young, 1991; Eastwood, 1992b; </w:t>
            </w:r>
            <w:proofErr w:type="spellStart"/>
            <w:r w:rsidRPr="002631AE">
              <w:rPr>
                <w:rFonts w:cs="Arial"/>
                <w:sz w:val="19"/>
                <w:szCs w:val="19"/>
              </w:rPr>
              <w:t>Samuels</w:t>
            </w:r>
            <w:proofErr w:type="spellEnd"/>
            <w:r w:rsidRPr="002631AE">
              <w:rPr>
                <w:rFonts w:cs="Arial"/>
                <w:sz w:val="19"/>
                <w:szCs w:val="19"/>
              </w:rPr>
              <w:t>, 1992) et leur format de présentation.</w:t>
            </w:r>
          </w:p>
        </w:tc>
      </w:tr>
      <w:tr w:rsidR="007D5303" w:rsidRPr="002631AE" w14:paraId="1D7354CE" w14:textId="77777777" w:rsidTr="007D5303">
        <w:trPr>
          <w:trHeight w:val="2862"/>
        </w:trPr>
        <w:tc>
          <w:tcPr>
            <w:tcW w:w="2430" w:type="dxa"/>
            <w:tcBorders>
              <w:bottom w:val="single" w:sz="4" w:space="0" w:color="auto"/>
            </w:tcBorders>
          </w:tcPr>
          <w:p w14:paraId="6CBA9C6A" w14:textId="77777777" w:rsidR="007D5303" w:rsidRPr="002631AE" w:rsidRDefault="007D5303" w:rsidP="007D5303">
            <w:pPr>
              <w:spacing w:before="120" w:after="120"/>
              <w:ind w:left="252" w:hanging="252"/>
              <w:rPr>
                <w:rFonts w:cs="Arial"/>
                <w:sz w:val="19"/>
                <w:szCs w:val="19"/>
              </w:rPr>
            </w:pPr>
            <w:r w:rsidRPr="002631AE">
              <w:rPr>
                <w:rFonts w:cs="Arial"/>
                <w:sz w:val="19"/>
                <w:szCs w:val="19"/>
              </w:rPr>
              <w:t>2.</w:t>
            </w:r>
            <w:r w:rsidRPr="002631AE">
              <w:rPr>
                <w:rFonts w:cs="Arial"/>
                <w:sz w:val="19"/>
                <w:szCs w:val="19"/>
              </w:rPr>
              <w:tab/>
              <w:t>Accessibilité juridique</w:t>
            </w:r>
          </w:p>
          <w:p w14:paraId="4E0F6CB1" w14:textId="77777777" w:rsidR="007D5303" w:rsidRPr="002631AE" w:rsidRDefault="007D5303" w:rsidP="007D5303">
            <w:pPr>
              <w:spacing w:before="120" w:after="120"/>
              <w:ind w:left="252" w:hanging="252"/>
              <w:jc w:val="both"/>
              <w:rPr>
                <w:rFonts w:cs="Arial"/>
                <w:b/>
                <w:sz w:val="19"/>
                <w:szCs w:val="19"/>
              </w:rPr>
            </w:pPr>
          </w:p>
        </w:tc>
        <w:tc>
          <w:tcPr>
            <w:tcW w:w="6318" w:type="dxa"/>
            <w:tcBorders>
              <w:bottom w:val="single" w:sz="4" w:space="0" w:color="auto"/>
            </w:tcBorders>
          </w:tcPr>
          <w:p w14:paraId="40C9A894" w14:textId="77777777" w:rsidR="007D5303" w:rsidRPr="002631AE" w:rsidRDefault="007D5303" w:rsidP="007D5303">
            <w:pPr>
              <w:spacing w:before="120" w:after="120"/>
              <w:jc w:val="both"/>
              <w:rPr>
                <w:rFonts w:cs="Arial"/>
                <w:sz w:val="19"/>
                <w:szCs w:val="19"/>
              </w:rPr>
            </w:pPr>
            <w:r w:rsidRPr="002631AE">
              <w:rPr>
                <w:rFonts w:cs="Arial"/>
                <w:sz w:val="19"/>
                <w:szCs w:val="19"/>
              </w:rPr>
              <w:t>Communicabilité des archives qui s’appuie sur l’autorisation juridique de consulter les documents d’archives. Elle s’appuie sur la communicabilité légale et réglementaire. (</w:t>
            </w:r>
            <w:proofErr w:type="spellStart"/>
            <w:r w:rsidRPr="002631AE">
              <w:rPr>
                <w:rFonts w:cs="Arial"/>
                <w:sz w:val="19"/>
                <w:szCs w:val="19"/>
              </w:rPr>
              <w:t>InterPARES</w:t>
            </w:r>
            <w:proofErr w:type="spellEnd"/>
            <w:r w:rsidRPr="002631AE">
              <w:rPr>
                <w:rFonts w:cs="Arial"/>
                <w:sz w:val="19"/>
                <w:szCs w:val="19"/>
              </w:rPr>
              <w:t xml:space="preserve"> 2 </w:t>
            </w:r>
            <w:proofErr w:type="spellStart"/>
            <w:r w:rsidRPr="002631AE">
              <w:rPr>
                <w:rFonts w:cs="Arial"/>
                <w:sz w:val="19"/>
                <w:szCs w:val="19"/>
              </w:rPr>
              <w:t>Terminology</w:t>
            </w:r>
            <w:proofErr w:type="spellEnd"/>
            <w:r w:rsidRPr="002631AE">
              <w:rPr>
                <w:rFonts w:cs="Arial"/>
                <w:sz w:val="19"/>
                <w:szCs w:val="19"/>
              </w:rPr>
              <w:t xml:space="preserve"> </w:t>
            </w:r>
            <w:proofErr w:type="spellStart"/>
            <w:r w:rsidRPr="002631AE">
              <w:rPr>
                <w:rFonts w:cs="Arial"/>
                <w:sz w:val="19"/>
                <w:szCs w:val="19"/>
              </w:rPr>
              <w:t>Database</w:t>
            </w:r>
            <w:proofErr w:type="spellEnd"/>
            <w:r w:rsidRPr="002631AE">
              <w:rPr>
                <w:rFonts w:cs="Arial"/>
                <w:sz w:val="19"/>
                <w:szCs w:val="19"/>
              </w:rPr>
              <w:t>, 2010; chapitre 2, p. 69).</w:t>
            </w:r>
          </w:p>
          <w:p w14:paraId="13550D49" w14:textId="77777777" w:rsidR="007D5303" w:rsidRPr="002631AE" w:rsidRDefault="007D5303" w:rsidP="007D5303">
            <w:pPr>
              <w:spacing w:before="120" w:after="120"/>
              <w:jc w:val="both"/>
              <w:rPr>
                <w:rFonts w:cs="Arial"/>
                <w:sz w:val="19"/>
                <w:szCs w:val="19"/>
              </w:rPr>
            </w:pPr>
            <w:r w:rsidRPr="002631AE">
              <w:rPr>
                <w:rFonts w:cs="Arial"/>
                <w:sz w:val="19"/>
                <w:szCs w:val="19"/>
              </w:rPr>
              <w:t xml:space="preserve">Communicabilité légale : </w:t>
            </w:r>
          </w:p>
          <w:p w14:paraId="40EB62FD" w14:textId="77777777" w:rsidR="007D5303" w:rsidRPr="002631AE" w:rsidRDefault="007D5303" w:rsidP="007D5303">
            <w:pPr>
              <w:spacing w:before="120" w:after="120"/>
              <w:jc w:val="both"/>
              <w:rPr>
                <w:rFonts w:cs="Arial"/>
                <w:sz w:val="19"/>
                <w:szCs w:val="19"/>
              </w:rPr>
            </w:pPr>
            <w:r w:rsidRPr="002631AE">
              <w:rPr>
                <w:rFonts w:cs="Arial"/>
                <w:sz w:val="19"/>
                <w:szCs w:val="19"/>
              </w:rPr>
              <w:t xml:space="preserve">Ouverture des archives à la consultation publique régie par une ou plusieurs lois ou par convention.   </w:t>
            </w:r>
          </w:p>
          <w:p w14:paraId="214169F7" w14:textId="77777777" w:rsidR="007D5303" w:rsidRPr="002631AE" w:rsidRDefault="007D5303" w:rsidP="007D5303">
            <w:pPr>
              <w:spacing w:before="120" w:after="120"/>
              <w:jc w:val="both"/>
              <w:rPr>
                <w:rFonts w:cs="Arial"/>
                <w:sz w:val="19"/>
                <w:szCs w:val="19"/>
              </w:rPr>
            </w:pPr>
            <w:r w:rsidRPr="002631AE">
              <w:rPr>
                <w:rFonts w:cs="Arial"/>
                <w:sz w:val="19"/>
                <w:szCs w:val="19"/>
              </w:rPr>
              <w:t xml:space="preserve">Communicabilité réglementaire : </w:t>
            </w:r>
          </w:p>
          <w:p w14:paraId="658AEB57" w14:textId="77777777" w:rsidR="007D5303" w:rsidRPr="002631AE" w:rsidRDefault="007D5303" w:rsidP="007D5303">
            <w:pPr>
              <w:spacing w:before="120" w:after="120"/>
              <w:jc w:val="both"/>
              <w:rPr>
                <w:rFonts w:cs="Arial"/>
                <w:sz w:val="19"/>
                <w:szCs w:val="19"/>
              </w:rPr>
            </w:pPr>
            <w:r w:rsidRPr="002631AE">
              <w:rPr>
                <w:rFonts w:cs="Arial"/>
                <w:sz w:val="19"/>
                <w:szCs w:val="19"/>
              </w:rPr>
              <w:t>Ouverture des archives à la consultation publique régie par un ou plusieurs textes réglementaires.</w:t>
            </w:r>
          </w:p>
        </w:tc>
      </w:tr>
      <w:tr w:rsidR="007D5303" w:rsidRPr="002631AE" w14:paraId="7CEE3066" w14:textId="77777777" w:rsidTr="007D5303">
        <w:trPr>
          <w:trHeight w:val="2384"/>
        </w:trPr>
        <w:tc>
          <w:tcPr>
            <w:tcW w:w="2430" w:type="dxa"/>
            <w:tcBorders>
              <w:bottom w:val="single" w:sz="4" w:space="0" w:color="auto"/>
            </w:tcBorders>
          </w:tcPr>
          <w:p w14:paraId="6C892166" w14:textId="77777777" w:rsidR="007D5303" w:rsidRPr="002631AE" w:rsidRDefault="007D5303" w:rsidP="007D5303">
            <w:pPr>
              <w:spacing w:before="120" w:after="120"/>
              <w:ind w:left="252" w:hanging="252"/>
              <w:rPr>
                <w:rFonts w:cs="Arial"/>
                <w:sz w:val="19"/>
                <w:szCs w:val="19"/>
              </w:rPr>
            </w:pPr>
            <w:r w:rsidRPr="002631AE">
              <w:rPr>
                <w:rFonts w:cs="Arial"/>
                <w:sz w:val="19"/>
                <w:szCs w:val="19"/>
              </w:rPr>
              <w:t>3.</w:t>
            </w:r>
            <w:r w:rsidRPr="002631AE">
              <w:rPr>
                <w:rFonts w:cs="Arial"/>
                <w:sz w:val="19"/>
                <w:szCs w:val="19"/>
              </w:rPr>
              <w:tab/>
              <w:t>Accessibilité matérielle</w:t>
            </w:r>
          </w:p>
          <w:p w14:paraId="63D33998" w14:textId="77777777" w:rsidR="007D5303" w:rsidRPr="002631AE" w:rsidRDefault="007D5303" w:rsidP="007D5303">
            <w:pPr>
              <w:spacing w:before="120" w:after="120"/>
              <w:ind w:left="252" w:hanging="252"/>
              <w:jc w:val="both"/>
              <w:rPr>
                <w:rFonts w:cs="Arial"/>
                <w:b/>
                <w:sz w:val="19"/>
                <w:szCs w:val="19"/>
              </w:rPr>
            </w:pPr>
          </w:p>
        </w:tc>
        <w:tc>
          <w:tcPr>
            <w:tcW w:w="6318" w:type="dxa"/>
            <w:tcBorders>
              <w:bottom w:val="single" w:sz="4" w:space="0" w:color="auto"/>
            </w:tcBorders>
          </w:tcPr>
          <w:p w14:paraId="395559A8" w14:textId="77777777" w:rsidR="007D5303" w:rsidRPr="002631AE" w:rsidRDefault="007D5303" w:rsidP="007D5303">
            <w:pPr>
              <w:spacing w:before="120" w:after="120"/>
              <w:jc w:val="both"/>
              <w:rPr>
                <w:rFonts w:cs="Arial"/>
                <w:sz w:val="19"/>
                <w:szCs w:val="19"/>
              </w:rPr>
            </w:pPr>
            <w:r w:rsidRPr="002631AE">
              <w:rPr>
                <w:rFonts w:cs="Arial"/>
                <w:sz w:val="19"/>
                <w:szCs w:val="19"/>
              </w:rPr>
              <w:t xml:space="preserve">Facilité d’accéder au support des archives définitives. Elle repose sur la </w:t>
            </w:r>
            <w:proofErr w:type="spellStart"/>
            <w:r w:rsidRPr="002631AE">
              <w:rPr>
                <w:rFonts w:cs="Arial"/>
                <w:sz w:val="19"/>
                <w:szCs w:val="19"/>
              </w:rPr>
              <w:t>repérabilité</w:t>
            </w:r>
            <w:proofErr w:type="spellEnd"/>
            <w:r w:rsidRPr="002631AE">
              <w:rPr>
                <w:rFonts w:cs="Arial"/>
                <w:sz w:val="19"/>
                <w:szCs w:val="19"/>
              </w:rPr>
              <w:t xml:space="preserve"> physique et la lisibilité du support (</w:t>
            </w:r>
            <w:proofErr w:type="spellStart"/>
            <w:r w:rsidRPr="002631AE">
              <w:rPr>
                <w:rFonts w:cs="Arial"/>
                <w:sz w:val="19"/>
                <w:szCs w:val="19"/>
              </w:rPr>
              <w:t>InterPARES</w:t>
            </w:r>
            <w:proofErr w:type="spellEnd"/>
            <w:r w:rsidRPr="002631AE">
              <w:rPr>
                <w:rFonts w:cs="Arial"/>
                <w:sz w:val="19"/>
                <w:szCs w:val="19"/>
              </w:rPr>
              <w:t xml:space="preserve"> 2 </w:t>
            </w:r>
            <w:proofErr w:type="spellStart"/>
            <w:r w:rsidRPr="002631AE">
              <w:rPr>
                <w:rFonts w:cs="Arial"/>
                <w:sz w:val="19"/>
                <w:szCs w:val="19"/>
              </w:rPr>
              <w:t>Terminology</w:t>
            </w:r>
            <w:proofErr w:type="spellEnd"/>
            <w:r w:rsidRPr="002631AE">
              <w:rPr>
                <w:rFonts w:cs="Arial"/>
                <w:sz w:val="19"/>
                <w:szCs w:val="19"/>
              </w:rPr>
              <w:t xml:space="preserve"> </w:t>
            </w:r>
            <w:proofErr w:type="spellStart"/>
            <w:r w:rsidRPr="002631AE">
              <w:rPr>
                <w:rFonts w:cs="Arial"/>
                <w:sz w:val="19"/>
                <w:szCs w:val="19"/>
              </w:rPr>
              <w:t>Database</w:t>
            </w:r>
            <w:proofErr w:type="spellEnd"/>
            <w:r w:rsidRPr="002631AE">
              <w:rPr>
                <w:rFonts w:cs="Arial"/>
                <w:sz w:val="19"/>
                <w:szCs w:val="19"/>
              </w:rPr>
              <w:t>, 2010; chapitre 2, p. 69).</w:t>
            </w:r>
          </w:p>
          <w:p w14:paraId="1A5D48EB" w14:textId="77777777" w:rsidR="007D5303" w:rsidRPr="002631AE" w:rsidRDefault="007D5303" w:rsidP="007D5303">
            <w:pPr>
              <w:spacing w:before="120" w:after="120"/>
              <w:jc w:val="both"/>
              <w:rPr>
                <w:rFonts w:cs="Arial"/>
                <w:sz w:val="19"/>
                <w:szCs w:val="19"/>
              </w:rPr>
            </w:pPr>
            <w:r w:rsidRPr="002631AE">
              <w:rPr>
                <w:rFonts w:cs="Arial"/>
                <w:sz w:val="19"/>
                <w:szCs w:val="19"/>
              </w:rPr>
              <w:t>Lisibilité :</w:t>
            </w:r>
          </w:p>
          <w:p w14:paraId="07C30C68" w14:textId="77777777" w:rsidR="007D5303" w:rsidRPr="002631AE" w:rsidRDefault="007D5303" w:rsidP="007D5303">
            <w:pPr>
              <w:spacing w:before="120" w:after="120"/>
              <w:jc w:val="both"/>
              <w:rPr>
                <w:rFonts w:cs="Arial"/>
                <w:sz w:val="19"/>
                <w:szCs w:val="19"/>
              </w:rPr>
            </w:pPr>
            <w:r w:rsidRPr="002631AE">
              <w:rPr>
                <w:rFonts w:cs="Arial"/>
                <w:sz w:val="19"/>
                <w:szCs w:val="19"/>
              </w:rPr>
              <w:t>Possibilité de lire les documents grâce à la qualité de leur état</w:t>
            </w:r>
          </w:p>
          <w:p w14:paraId="60BFABA0" w14:textId="77777777" w:rsidR="007D5303" w:rsidRPr="002631AE" w:rsidRDefault="007D5303" w:rsidP="007D5303">
            <w:pPr>
              <w:spacing w:before="120" w:after="120"/>
              <w:jc w:val="both"/>
              <w:rPr>
                <w:rFonts w:cs="Arial"/>
                <w:sz w:val="19"/>
                <w:szCs w:val="19"/>
              </w:rPr>
            </w:pPr>
            <w:proofErr w:type="gramStart"/>
            <w:r w:rsidRPr="002631AE">
              <w:rPr>
                <w:rFonts w:cs="Arial"/>
                <w:sz w:val="19"/>
                <w:szCs w:val="19"/>
              </w:rPr>
              <w:t>physique</w:t>
            </w:r>
            <w:proofErr w:type="gramEnd"/>
            <w:r w:rsidRPr="002631AE">
              <w:rPr>
                <w:rFonts w:cs="Arial"/>
                <w:sz w:val="19"/>
                <w:szCs w:val="19"/>
              </w:rPr>
              <w:t xml:space="preserve"> ainsi que la disponibilité du matériel approprié à leur</w:t>
            </w:r>
          </w:p>
          <w:p w14:paraId="3427FBA8" w14:textId="77777777" w:rsidR="007D5303" w:rsidRPr="002631AE" w:rsidRDefault="007D5303" w:rsidP="007D5303">
            <w:pPr>
              <w:spacing w:before="120" w:after="120"/>
              <w:jc w:val="both"/>
              <w:rPr>
                <w:rFonts w:cs="Arial"/>
                <w:sz w:val="19"/>
                <w:szCs w:val="19"/>
              </w:rPr>
            </w:pPr>
            <w:proofErr w:type="gramStart"/>
            <w:r w:rsidRPr="002631AE">
              <w:rPr>
                <w:rFonts w:cs="Arial"/>
                <w:sz w:val="19"/>
                <w:szCs w:val="19"/>
              </w:rPr>
              <w:t>lecture</w:t>
            </w:r>
            <w:proofErr w:type="gramEnd"/>
            <w:r w:rsidRPr="002631AE">
              <w:rPr>
                <w:rFonts w:cs="Arial"/>
                <w:sz w:val="19"/>
                <w:szCs w:val="19"/>
              </w:rPr>
              <w:t xml:space="preserve"> (</w:t>
            </w:r>
            <w:proofErr w:type="spellStart"/>
            <w:r w:rsidRPr="002631AE">
              <w:rPr>
                <w:rFonts w:cs="Arial"/>
                <w:sz w:val="19"/>
                <w:szCs w:val="19"/>
              </w:rPr>
              <w:t>InterPARES</w:t>
            </w:r>
            <w:proofErr w:type="spellEnd"/>
            <w:r w:rsidRPr="002631AE">
              <w:rPr>
                <w:rFonts w:cs="Arial"/>
                <w:sz w:val="19"/>
                <w:szCs w:val="19"/>
              </w:rPr>
              <w:t xml:space="preserve"> 2 </w:t>
            </w:r>
            <w:proofErr w:type="spellStart"/>
            <w:r w:rsidRPr="002631AE">
              <w:rPr>
                <w:rFonts w:cs="Arial"/>
                <w:sz w:val="19"/>
                <w:szCs w:val="19"/>
              </w:rPr>
              <w:t>Terminology</w:t>
            </w:r>
            <w:proofErr w:type="spellEnd"/>
            <w:r w:rsidRPr="002631AE">
              <w:rPr>
                <w:rFonts w:cs="Arial"/>
                <w:sz w:val="19"/>
                <w:szCs w:val="19"/>
              </w:rPr>
              <w:t xml:space="preserve"> </w:t>
            </w:r>
            <w:proofErr w:type="spellStart"/>
            <w:r w:rsidRPr="002631AE">
              <w:rPr>
                <w:rFonts w:cs="Arial"/>
                <w:sz w:val="19"/>
                <w:szCs w:val="19"/>
              </w:rPr>
              <w:t>Database</w:t>
            </w:r>
            <w:proofErr w:type="spellEnd"/>
            <w:r w:rsidRPr="002631AE">
              <w:rPr>
                <w:rFonts w:cs="Arial"/>
                <w:sz w:val="19"/>
                <w:szCs w:val="19"/>
              </w:rPr>
              <w:t>, 2010; chapitre 2, p. 69).</w:t>
            </w:r>
          </w:p>
        </w:tc>
      </w:tr>
    </w:tbl>
    <w:p w14:paraId="58C3A720" w14:textId="77777777" w:rsidR="00B010EA" w:rsidRPr="00CF35BC" w:rsidRDefault="00B010EA" w:rsidP="005D4F0A">
      <w:pPr>
        <w:numPr>
          <w:ilvl w:val="0"/>
          <w:numId w:val="2"/>
        </w:numPr>
        <w:tabs>
          <w:tab w:val="left" w:pos="540"/>
        </w:tabs>
        <w:spacing w:before="480"/>
        <w:ind w:left="540" w:hanging="540"/>
        <w:jc w:val="both"/>
        <w:rPr>
          <w:rFonts w:cs="Arial"/>
          <w:b/>
          <w:sz w:val="21"/>
          <w:szCs w:val="21"/>
        </w:rPr>
      </w:pPr>
      <w:r w:rsidRPr="00CF35BC">
        <w:rPr>
          <w:rFonts w:cs="Arial"/>
          <w:b/>
          <w:sz w:val="21"/>
          <w:szCs w:val="21"/>
        </w:rPr>
        <w:lastRenderedPageBreak/>
        <w:t>L’exploitabilité</w:t>
      </w:r>
    </w:p>
    <w:p w14:paraId="64EF4A05" w14:textId="77777777" w:rsidR="008A14EB" w:rsidRPr="00CF35BC" w:rsidRDefault="008A14EB" w:rsidP="008A14EB">
      <w:pPr>
        <w:contextualSpacing/>
        <w:jc w:val="both"/>
        <w:rPr>
          <w:rFonts w:cs="Arial"/>
          <w:b/>
          <w:sz w:val="21"/>
          <w:szCs w:val="21"/>
        </w:rPr>
      </w:pPr>
    </w:p>
    <w:p w14:paraId="4AF78206" w14:textId="77777777" w:rsidR="00B010EA" w:rsidRPr="00CF35BC" w:rsidRDefault="00B010EA" w:rsidP="00D625BF">
      <w:pPr>
        <w:contextualSpacing/>
        <w:jc w:val="both"/>
        <w:rPr>
          <w:rFonts w:cs="Arial"/>
          <w:sz w:val="21"/>
          <w:szCs w:val="21"/>
        </w:rPr>
      </w:pPr>
      <w:r w:rsidRPr="00CF35BC">
        <w:rPr>
          <w:rFonts w:cs="Arial"/>
          <w:sz w:val="21"/>
          <w:szCs w:val="21"/>
        </w:rPr>
        <w:t>Cette dimension tient compte de la capacité des archives à répondre aux besoins des usagers en permettant des travaux de recherches historiques ou autres</w:t>
      </w:r>
      <w:r w:rsidR="000E2443" w:rsidRPr="00CF35BC">
        <w:rPr>
          <w:rFonts w:cs="Arial"/>
          <w:sz w:val="21"/>
          <w:szCs w:val="21"/>
        </w:rPr>
        <w:t>. Elle doit également prendre en compte</w:t>
      </w:r>
      <w:r w:rsidRPr="00CF35BC">
        <w:rPr>
          <w:rFonts w:cs="Arial"/>
          <w:sz w:val="21"/>
          <w:szCs w:val="21"/>
        </w:rPr>
        <w:t xml:space="preserve"> </w:t>
      </w:r>
      <w:r w:rsidR="000E2443" w:rsidRPr="00CF35BC">
        <w:rPr>
          <w:rFonts w:cs="Arial"/>
          <w:sz w:val="21"/>
          <w:szCs w:val="21"/>
        </w:rPr>
        <w:t>les</w:t>
      </w:r>
      <w:r w:rsidRPr="00CF35BC">
        <w:rPr>
          <w:rFonts w:cs="Arial"/>
          <w:sz w:val="21"/>
          <w:szCs w:val="21"/>
        </w:rPr>
        <w:t xml:space="preserve"> besoins de BAnQ </w:t>
      </w:r>
      <w:r w:rsidR="00A96EDE" w:rsidRPr="00CF35BC">
        <w:rPr>
          <w:rFonts w:cs="Arial"/>
          <w:sz w:val="21"/>
          <w:szCs w:val="21"/>
        </w:rPr>
        <w:t xml:space="preserve">de faire connaitre </w:t>
      </w:r>
      <w:r w:rsidRPr="00CF35BC">
        <w:rPr>
          <w:rFonts w:cs="Arial"/>
          <w:sz w:val="21"/>
          <w:szCs w:val="21"/>
        </w:rPr>
        <w:t>ses services et</w:t>
      </w:r>
      <w:r w:rsidR="00A96EDE" w:rsidRPr="00CF35BC">
        <w:rPr>
          <w:rFonts w:cs="Arial"/>
          <w:sz w:val="21"/>
          <w:szCs w:val="21"/>
        </w:rPr>
        <w:t xml:space="preserve"> de</w:t>
      </w:r>
      <w:r w:rsidRPr="00CF35BC">
        <w:rPr>
          <w:rFonts w:cs="Arial"/>
          <w:sz w:val="21"/>
          <w:szCs w:val="21"/>
        </w:rPr>
        <w:t xml:space="preserve"> </w:t>
      </w:r>
      <w:r w:rsidR="00A96EDE" w:rsidRPr="00CF35BC">
        <w:rPr>
          <w:rFonts w:cs="Arial"/>
          <w:sz w:val="21"/>
          <w:szCs w:val="21"/>
        </w:rPr>
        <w:t xml:space="preserve">mettre en valeur </w:t>
      </w:r>
      <w:r w:rsidRPr="00CF35BC">
        <w:rPr>
          <w:rFonts w:cs="Arial"/>
          <w:sz w:val="21"/>
          <w:szCs w:val="21"/>
        </w:rPr>
        <w:t>ses fonds et collections.</w:t>
      </w:r>
    </w:p>
    <w:p w14:paraId="144402B7" w14:textId="77777777" w:rsidR="00B010EA" w:rsidRPr="00CF35BC" w:rsidRDefault="00B010EA" w:rsidP="00B010EA">
      <w:pPr>
        <w:ind w:left="360"/>
        <w:contextualSpacing/>
        <w:jc w:val="both"/>
        <w:rPr>
          <w:rFonts w:cs="Arial"/>
          <w:sz w:val="21"/>
          <w:szCs w:val="21"/>
        </w:rPr>
      </w:pPr>
    </w:p>
    <w:p w14:paraId="1028D47D" w14:textId="77777777" w:rsidR="00B010EA" w:rsidRPr="00CF35BC" w:rsidRDefault="00B010EA" w:rsidP="00D625BF">
      <w:pPr>
        <w:contextualSpacing/>
        <w:jc w:val="both"/>
        <w:rPr>
          <w:rFonts w:cs="Arial"/>
          <w:sz w:val="21"/>
          <w:szCs w:val="21"/>
        </w:rPr>
      </w:pPr>
      <w:r w:rsidRPr="00CF35BC">
        <w:rPr>
          <w:rFonts w:cs="Arial"/>
          <w:sz w:val="21"/>
          <w:szCs w:val="21"/>
        </w:rPr>
        <w:t xml:space="preserve">Elle tient compte aussi de la diversité des usages qui peut être </w:t>
      </w:r>
      <w:r w:rsidR="005566FD" w:rsidRPr="00CF35BC">
        <w:rPr>
          <w:rFonts w:cs="Arial"/>
          <w:sz w:val="21"/>
          <w:szCs w:val="21"/>
        </w:rPr>
        <w:t>faite</w:t>
      </w:r>
      <w:r w:rsidRPr="00CF35BC">
        <w:rPr>
          <w:rFonts w:cs="Arial"/>
          <w:sz w:val="21"/>
          <w:szCs w:val="21"/>
        </w:rPr>
        <w:t xml:space="preserve"> des archives, c’est-à-dire de la capacité de ces dernières à multiplier les possibilités d’exploitation et le potentiel d’utilisation documentant un ou plusieurs secteurs d’activités, des événements, des spécificités culturelles ou des périodes.</w:t>
      </w:r>
    </w:p>
    <w:p w14:paraId="096C871F" w14:textId="77777777" w:rsidR="002B591A" w:rsidRPr="00CF35BC" w:rsidRDefault="002B591A" w:rsidP="00B010EA">
      <w:pPr>
        <w:ind w:left="360"/>
        <w:contextualSpacing/>
        <w:jc w:val="both"/>
        <w:rPr>
          <w:rFonts w:cs="Arial"/>
          <w:sz w:val="21"/>
          <w:szCs w:val="21"/>
        </w:rPr>
      </w:pPr>
    </w:p>
    <w:tbl>
      <w:tblPr>
        <w:tblStyle w:val="Grilledutableau16"/>
        <w:tblW w:w="0" w:type="auto"/>
        <w:tblInd w:w="108" w:type="dxa"/>
        <w:tblLook w:val="04A0" w:firstRow="1" w:lastRow="0" w:firstColumn="1" w:lastColumn="0" w:noHBand="0" w:noVBand="1"/>
      </w:tblPr>
      <w:tblGrid>
        <w:gridCol w:w="2294"/>
        <w:gridCol w:w="6228"/>
      </w:tblGrid>
      <w:tr w:rsidR="00962F7F" w:rsidRPr="001122AB" w14:paraId="0EA268C9" w14:textId="77777777" w:rsidTr="004D38DB">
        <w:trPr>
          <w:trHeight w:val="782"/>
        </w:trPr>
        <w:tc>
          <w:tcPr>
            <w:tcW w:w="2340" w:type="dxa"/>
          </w:tcPr>
          <w:p w14:paraId="23885D39" w14:textId="77777777" w:rsidR="00962F7F" w:rsidRPr="001122AB" w:rsidRDefault="00962F7F" w:rsidP="007D5303">
            <w:pPr>
              <w:spacing w:before="120" w:after="120"/>
              <w:rPr>
                <w:rFonts w:cs="Arial"/>
                <w:sz w:val="20"/>
                <w:szCs w:val="20"/>
              </w:rPr>
            </w:pPr>
            <w:r w:rsidRPr="001122AB">
              <w:rPr>
                <w:rFonts w:cs="Arial"/>
                <w:sz w:val="20"/>
                <w:szCs w:val="20"/>
              </w:rPr>
              <w:t xml:space="preserve">Potentiel d’utilisation par les usagers </w:t>
            </w:r>
          </w:p>
        </w:tc>
        <w:tc>
          <w:tcPr>
            <w:tcW w:w="6408" w:type="dxa"/>
          </w:tcPr>
          <w:p w14:paraId="416D0695" w14:textId="77777777" w:rsidR="00962F7F" w:rsidRPr="001122AB" w:rsidRDefault="00962F7F" w:rsidP="007D5303">
            <w:pPr>
              <w:spacing w:before="120" w:after="120"/>
              <w:jc w:val="both"/>
              <w:rPr>
                <w:rFonts w:cs="Arial"/>
                <w:sz w:val="20"/>
                <w:szCs w:val="20"/>
              </w:rPr>
            </w:pPr>
            <w:r w:rsidRPr="001122AB">
              <w:rPr>
                <w:rFonts w:cs="Arial"/>
                <w:sz w:val="20"/>
                <w:szCs w:val="20"/>
              </w:rPr>
              <w:t>Capacité des archives à répondre aux besoins prévisibles des différents types d’usagers et aux besoins de mise en valeur de BAnQ.</w:t>
            </w:r>
          </w:p>
        </w:tc>
      </w:tr>
      <w:tr w:rsidR="00962F7F" w:rsidRPr="001122AB" w14:paraId="231BDDE1" w14:textId="77777777" w:rsidTr="007D5303">
        <w:tc>
          <w:tcPr>
            <w:tcW w:w="2340" w:type="dxa"/>
          </w:tcPr>
          <w:p w14:paraId="079A94A8" w14:textId="77777777" w:rsidR="00962F7F" w:rsidRPr="001122AB" w:rsidRDefault="00962F7F" w:rsidP="001122AB">
            <w:pPr>
              <w:spacing w:before="120" w:after="120"/>
              <w:rPr>
                <w:rFonts w:cs="Arial"/>
                <w:sz w:val="20"/>
                <w:szCs w:val="20"/>
              </w:rPr>
            </w:pPr>
            <w:r w:rsidRPr="001122AB">
              <w:rPr>
                <w:rFonts w:cs="Arial"/>
                <w:sz w:val="20"/>
                <w:szCs w:val="20"/>
              </w:rPr>
              <w:t>Typologie des clientèles</w:t>
            </w:r>
          </w:p>
        </w:tc>
        <w:tc>
          <w:tcPr>
            <w:tcW w:w="6408" w:type="dxa"/>
          </w:tcPr>
          <w:p w14:paraId="504595E5" w14:textId="77777777" w:rsidR="00962F7F" w:rsidRPr="001122AB" w:rsidRDefault="00962F7F" w:rsidP="007D5303">
            <w:pPr>
              <w:spacing w:before="120" w:after="120"/>
              <w:jc w:val="both"/>
              <w:rPr>
                <w:rFonts w:cs="Arial"/>
                <w:sz w:val="20"/>
                <w:szCs w:val="20"/>
              </w:rPr>
            </w:pPr>
            <w:r w:rsidRPr="001122AB">
              <w:rPr>
                <w:rFonts w:cs="Arial"/>
                <w:sz w:val="20"/>
                <w:szCs w:val="20"/>
              </w:rPr>
              <w:t xml:space="preserve">Dans </w:t>
            </w:r>
            <w:r w:rsidRPr="001122AB">
              <w:rPr>
                <w:rFonts w:cs="Arial"/>
                <w:i/>
                <w:sz w:val="20"/>
                <w:szCs w:val="20"/>
              </w:rPr>
              <w:t>Panorama de l’archivistique contemporaine</w:t>
            </w:r>
            <w:r w:rsidRPr="001122AB">
              <w:rPr>
                <w:rFonts w:cs="Arial"/>
                <w:sz w:val="20"/>
                <w:szCs w:val="20"/>
              </w:rPr>
              <w:t xml:space="preserve">, N. Charbonneau et al. </w:t>
            </w:r>
            <w:proofErr w:type="gramStart"/>
            <w:r w:rsidRPr="001122AB">
              <w:rPr>
                <w:rFonts w:cs="Arial"/>
                <w:sz w:val="20"/>
                <w:szCs w:val="20"/>
              </w:rPr>
              <w:t>identifient</w:t>
            </w:r>
            <w:proofErr w:type="gramEnd"/>
            <w:r w:rsidRPr="001122AB">
              <w:rPr>
                <w:rFonts w:cs="Arial"/>
                <w:sz w:val="20"/>
                <w:szCs w:val="20"/>
              </w:rPr>
              <w:t xml:space="preserve"> six types de clientèles : </w:t>
            </w:r>
          </w:p>
          <w:p w14:paraId="18945A1F" w14:textId="77777777" w:rsidR="00962F7F" w:rsidRPr="001122AB" w:rsidRDefault="00962F7F" w:rsidP="007D5303">
            <w:pPr>
              <w:spacing w:before="120" w:after="120"/>
              <w:jc w:val="both"/>
              <w:rPr>
                <w:rFonts w:cs="Arial"/>
                <w:sz w:val="20"/>
                <w:szCs w:val="20"/>
              </w:rPr>
            </w:pPr>
            <w:r w:rsidRPr="001122AB">
              <w:rPr>
                <w:rFonts w:cs="Arial"/>
                <w:sz w:val="20"/>
                <w:szCs w:val="20"/>
              </w:rPr>
              <w:t xml:space="preserve">« Outre les clientèles connues qui sont le « grand public » généralement formé de généalogistes et de chercheurs en histoire familiale ou locale, les citoyens cherchant à protéger ou à faire valoir leurs droits, les chercheurs scientifiques ou les usagers issus de nos administrations, deux types de clientèles ont émergé avec l’explosion de la </w:t>
            </w:r>
            <w:proofErr w:type="spellStart"/>
            <w:r w:rsidRPr="001122AB">
              <w:rPr>
                <w:rFonts w:cs="Arial"/>
                <w:sz w:val="20"/>
                <w:szCs w:val="20"/>
              </w:rPr>
              <w:t>webculture</w:t>
            </w:r>
            <w:proofErr w:type="spellEnd"/>
            <w:r w:rsidRPr="001122AB">
              <w:rPr>
                <w:rFonts w:cs="Arial"/>
                <w:sz w:val="20"/>
                <w:szCs w:val="20"/>
              </w:rPr>
              <w:t xml:space="preserve"> depuis le début des années 2000 : </w:t>
            </w:r>
          </w:p>
          <w:p w14:paraId="0E520845" w14:textId="77777777" w:rsidR="00962F7F" w:rsidRPr="001122AB" w:rsidRDefault="00962F7F" w:rsidP="001122AB">
            <w:pPr>
              <w:numPr>
                <w:ilvl w:val="0"/>
                <w:numId w:val="4"/>
              </w:numPr>
              <w:spacing w:before="120" w:after="120"/>
              <w:ind w:left="252" w:hanging="252"/>
              <w:jc w:val="both"/>
              <w:rPr>
                <w:rFonts w:cs="Arial"/>
                <w:sz w:val="20"/>
                <w:szCs w:val="20"/>
              </w:rPr>
            </w:pPr>
            <w:r w:rsidRPr="001122AB">
              <w:rPr>
                <w:rFonts w:cs="Arial"/>
                <w:sz w:val="20"/>
                <w:szCs w:val="20"/>
              </w:rPr>
              <w:t>La clientèle des chercheurs professionnels non scientifiques : constituée de recherchistes, de journalistes, de professionnels des communications et du marketing qui exploitent à leur profit la diffusion du savoir. (…)</w:t>
            </w:r>
          </w:p>
          <w:p w14:paraId="7C13EA99" w14:textId="77777777" w:rsidR="00962F7F" w:rsidRPr="001122AB" w:rsidRDefault="00962F7F" w:rsidP="001122AB">
            <w:pPr>
              <w:numPr>
                <w:ilvl w:val="0"/>
                <w:numId w:val="4"/>
              </w:numPr>
              <w:spacing w:before="120" w:after="120"/>
              <w:ind w:left="252" w:hanging="252"/>
              <w:jc w:val="both"/>
              <w:rPr>
                <w:rFonts w:cs="Arial"/>
                <w:sz w:val="20"/>
                <w:szCs w:val="20"/>
              </w:rPr>
            </w:pPr>
            <w:r w:rsidRPr="001122AB">
              <w:rPr>
                <w:rFonts w:cs="Arial"/>
                <w:sz w:val="20"/>
                <w:szCs w:val="20"/>
              </w:rPr>
              <w:t>La clientèle « indirecte » : elle est la clientèle visée par les chercheurs professionnels. Il s’agit de toute personne qui côtoie de près ou de loin les écrans de télévision, Internet, la presse écrite ou des expositions et qui n’a pas conscience de l’existence des centres d’archives. (…) ». (Charbonneau, 2015, p. 227)</w:t>
            </w:r>
          </w:p>
        </w:tc>
      </w:tr>
      <w:tr w:rsidR="00962F7F" w:rsidRPr="001122AB" w14:paraId="537A1237" w14:textId="77777777" w:rsidTr="007D5303">
        <w:trPr>
          <w:trHeight w:val="945"/>
        </w:trPr>
        <w:tc>
          <w:tcPr>
            <w:tcW w:w="2340" w:type="dxa"/>
          </w:tcPr>
          <w:p w14:paraId="7F1BC299" w14:textId="77777777" w:rsidR="00962F7F" w:rsidRPr="001122AB" w:rsidRDefault="00962F7F" w:rsidP="001122AB">
            <w:pPr>
              <w:spacing w:before="120" w:after="120"/>
              <w:rPr>
                <w:rFonts w:cs="Arial"/>
                <w:sz w:val="20"/>
                <w:szCs w:val="20"/>
              </w:rPr>
            </w:pPr>
            <w:r w:rsidRPr="001122AB">
              <w:rPr>
                <w:rFonts w:cs="Arial"/>
                <w:sz w:val="20"/>
                <w:szCs w:val="20"/>
              </w:rPr>
              <w:t>Potentiel de mise en valeur par BAnQ</w:t>
            </w:r>
          </w:p>
        </w:tc>
        <w:tc>
          <w:tcPr>
            <w:tcW w:w="6408" w:type="dxa"/>
          </w:tcPr>
          <w:p w14:paraId="67055AD2" w14:textId="77777777" w:rsidR="00962F7F" w:rsidRPr="001122AB" w:rsidRDefault="00962F7F" w:rsidP="007D5303">
            <w:pPr>
              <w:spacing w:before="120" w:after="120"/>
              <w:jc w:val="both"/>
              <w:rPr>
                <w:rFonts w:cs="Arial"/>
                <w:sz w:val="20"/>
                <w:szCs w:val="20"/>
              </w:rPr>
            </w:pPr>
            <w:r w:rsidRPr="001122AB">
              <w:rPr>
                <w:rFonts w:cs="Arial"/>
                <w:sz w:val="20"/>
                <w:szCs w:val="20"/>
              </w:rPr>
              <w:t>Capacité des archives à faire connaître les services de BAnQ et ses fonds et collection par l’entremise de ses propres moyens de diffusion (publications, portail de BAnQ, blogues, médias sociaux, etc.).</w:t>
            </w:r>
          </w:p>
        </w:tc>
      </w:tr>
    </w:tbl>
    <w:p w14:paraId="0D199F5A" w14:textId="77777777" w:rsidR="002B591A" w:rsidRPr="00CF35BC" w:rsidRDefault="002B591A" w:rsidP="00B010EA">
      <w:pPr>
        <w:ind w:left="360"/>
        <w:contextualSpacing/>
        <w:jc w:val="both"/>
        <w:rPr>
          <w:rFonts w:cs="Arial"/>
          <w:sz w:val="21"/>
          <w:szCs w:val="21"/>
        </w:rPr>
      </w:pPr>
    </w:p>
    <w:p w14:paraId="2B02EB3B" w14:textId="77777777" w:rsidR="002631AE" w:rsidRDefault="002631AE">
      <w:pPr>
        <w:spacing w:after="200" w:line="276" w:lineRule="auto"/>
        <w:rPr>
          <w:rFonts w:cs="Arial"/>
          <w:b/>
          <w:sz w:val="21"/>
          <w:szCs w:val="21"/>
          <w:highlight w:val="lightGray"/>
        </w:rPr>
      </w:pPr>
      <w:r>
        <w:rPr>
          <w:rFonts w:cs="Arial"/>
          <w:b/>
          <w:sz w:val="21"/>
          <w:szCs w:val="21"/>
          <w:highlight w:val="lightGray"/>
        </w:rPr>
        <w:br w:type="page"/>
      </w:r>
    </w:p>
    <w:p w14:paraId="2A06FE5E" w14:textId="77777777" w:rsidR="00B010EA" w:rsidRPr="00CF35BC" w:rsidRDefault="00B010EA" w:rsidP="005D4F0A">
      <w:pPr>
        <w:numPr>
          <w:ilvl w:val="0"/>
          <w:numId w:val="2"/>
        </w:numPr>
        <w:tabs>
          <w:tab w:val="left" w:pos="540"/>
        </w:tabs>
        <w:spacing w:before="480"/>
        <w:ind w:left="540" w:hanging="540"/>
        <w:jc w:val="both"/>
        <w:rPr>
          <w:rFonts w:cs="Arial"/>
          <w:b/>
          <w:sz w:val="21"/>
          <w:szCs w:val="21"/>
        </w:rPr>
      </w:pPr>
      <w:r w:rsidRPr="00CF35BC">
        <w:rPr>
          <w:rFonts w:cs="Arial"/>
          <w:b/>
          <w:sz w:val="21"/>
          <w:szCs w:val="21"/>
        </w:rPr>
        <w:lastRenderedPageBreak/>
        <w:t xml:space="preserve">Le contexte organisationnel </w:t>
      </w:r>
    </w:p>
    <w:p w14:paraId="69591E02" w14:textId="77777777" w:rsidR="008A14EB" w:rsidRPr="00CF35BC" w:rsidRDefault="008A14EB" w:rsidP="008A14EB">
      <w:pPr>
        <w:contextualSpacing/>
        <w:jc w:val="both"/>
        <w:rPr>
          <w:rFonts w:cs="Arial"/>
          <w:b/>
          <w:sz w:val="21"/>
          <w:szCs w:val="21"/>
        </w:rPr>
      </w:pPr>
    </w:p>
    <w:p w14:paraId="1AE125F8" w14:textId="77777777" w:rsidR="00976B7E" w:rsidRPr="00CF35BC" w:rsidRDefault="00B010EA" w:rsidP="004D38DB">
      <w:pPr>
        <w:contextualSpacing/>
        <w:jc w:val="both"/>
        <w:rPr>
          <w:rFonts w:cs="Arial"/>
          <w:sz w:val="21"/>
          <w:szCs w:val="21"/>
        </w:rPr>
      </w:pPr>
      <w:r w:rsidRPr="00CF35BC">
        <w:rPr>
          <w:rFonts w:cs="Arial"/>
          <w:sz w:val="21"/>
          <w:szCs w:val="21"/>
        </w:rPr>
        <w:t>En tant que société d’État relevant du ministère de la Culture et des Communications, BAnQ joue un rôle de premier plan dans la constitution du patrimoine documentaire québécois et de la reconnaissance de la spécificité culturelle et identitaire des Québécois. Ces rôles et mandats de BAnQ sont assujettis 1) à un cadre légal et réglementaire; 2) à des politiques et des orientations fixées par le gouvernement</w:t>
      </w:r>
      <w:r w:rsidR="00DD1D92" w:rsidRPr="00CF35BC">
        <w:rPr>
          <w:rFonts w:cs="Arial"/>
          <w:sz w:val="21"/>
          <w:szCs w:val="21"/>
        </w:rPr>
        <w:t>;</w:t>
      </w:r>
      <w:r w:rsidRPr="00CF35BC">
        <w:rPr>
          <w:rFonts w:cs="Arial"/>
          <w:sz w:val="21"/>
          <w:szCs w:val="21"/>
        </w:rPr>
        <w:t xml:space="preserve"> et 3) aux ressources disponibles.</w:t>
      </w:r>
    </w:p>
    <w:p w14:paraId="4A7A5C81" w14:textId="77777777" w:rsidR="00962F7F" w:rsidRPr="00CF35BC" w:rsidRDefault="00962F7F" w:rsidP="00DD1D92">
      <w:pPr>
        <w:ind w:left="360"/>
        <w:contextualSpacing/>
        <w:jc w:val="both"/>
        <w:rPr>
          <w:rFonts w:cs="Arial"/>
          <w:sz w:val="21"/>
          <w:szCs w:val="21"/>
        </w:rPr>
      </w:pPr>
    </w:p>
    <w:tbl>
      <w:tblPr>
        <w:tblStyle w:val="Grilledutableau17"/>
        <w:tblW w:w="0" w:type="auto"/>
        <w:tblInd w:w="108" w:type="dxa"/>
        <w:tblLayout w:type="fixed"/>
        <w:tblLook w:val="04A0" w:firstRow="1" w:lastRow="0" w:firstColumn="1" w:lastColumn="0" w:noHBand="0" w:noVBand="1"/>
      </w:tblPr>
      <w:tblGrid>
        <w:gridCol w:w="2250"/>
        <w:gridCol w:w="6498"/>
      </w:tblGrid>
      <w:tr w:rsidR="00962F7F" w:rsidRPr="002631AE" w14:paraId="554B6F77" w14:textId="77777777" w:rsidTr="004D38DB">
        <w:trPr>
          <w:trHeight w:val="350"/>
        </w:trPr>
        <w:tc>
          <w:tcPr>
            <w:tcW w:w="2250" w:type="dxa"/>
            <w:tcBorders>
              <w:top w:val="single" w:sz="4" w:space="0" w:color="auto"/>
              <w:bottom w:val="nil"/>
            </w:tcBorders>
          </w:tcPr>
          <w:p w14:paraId="533BB0A8" w14:textId="77777777" w:rsidR="00962F7F" w:rsidRPr="005D4F0A" w:rsidRDefault="00962F7F" w:rsidP="002631AE">
            <w:pPr>
              <w:spacing w:before="120" w:after="120"/>
              <w:ind w:left="252" w:hanging="252"/>
              <w:rPr>
                <w:rFonts w:cs="Arial"/>
                <w:b/>
                <w:sz w:val="19"/>
                <w:szCs w:val="19"/>
              </w:rPr>
            </w:pPr>
            <w:r w:rsidRPr="005D4F0A">
              <w:rPr>
                <w:rFonts w:cs="Arial"/>
                <w:sz w:val="19"/>
                <w:szCs w:val="19"/>
              </w:rPr>
              <w:t>1.</w:t>
            </w:r>
            <w:r w:rsidR="001122AB" w:rsidRPr="005D4F0A">
              <w:rPr>
                <w:rFonts w:cs="Arial"/>
                <w:sz w:val="19"/>
                <w:szCs w:val="19"/>
              </w:rPr>
              <w:tab/>
            </w:r>
            <w:r w:rsidRPr="005D4F0A">
              <w:rPr>
                <w:rFonts w:cs="Arial"/>
                <w:sz w:val="19"/>
                <w:szCs w:val="19"/>
              </w:rPr>
              <w:t>Cadre légal et réglementaire</w:t>
            </w:r>
          </w:p>
        </w:tc>
        <w:tc>
          <w:tcPr>
            <w:tcW w:w="6498" w:type="dxa"/>
            <w:tcBorders>
              <w:top w:val="single" w:sz="4" w:space="0" w:color="auto"/>
              <w:bottom w:val="nil"/>
            </w:tcBorders>
          </w:tcPr>
          <w:p w14:paraId="33F4F72C" w14:textId="77777777" w:rsidR="00962F7F" w:rsidRPr="002631AE" w:rsidRDefault="00962F7F" w:rsidP="001122AB">
            <w:pPr>
              <w:spacing w:before="120" w:after="120"/>
              <w:jc w:val="both"/>
              <w:rPr>
                <w:rFonts w:cs="Arial"/>
                <w:sz w:val="19"/>
                <w:szCs w:val="19"/>
              </w:rPr>
            </w:pPr>
            <w:r w:rsidRPr="002631AE">
              <w:rPr>
                <w:rFonts w:cs="Arial"/>
                <w:sz w:val="19"/>
                <w:szCs w:val="19"/>
              </w:rPr>
              <w:t>Principales lois et règlements :</w:t>
            </w:r>
          </w:p>
          <w:p w14:paraId="57BB1A2A" w14:textId="77777777" w:rsidR="00962F7F" w:rsidRPr="002631AE" w:rsidRDefault="00962F7F" w:rsidP="001122AB">
            <w:pPr>
              <w:numPr>
                <w:ilvl w:val="0"/>
                <w:numId w:val="6"/>
              </w:numPr>
              <w:spacing w:before="120" w:after="120"/>
              <w:ind w:left="252" w:hanging="252"/>
              <w:jc w:val="both"/>
              <w:rPr>
                <w:rFonts w:cs="Arial"/>
                <w:sz w:val="19"/>
                <w:szCs w:val="19"/>
              </w:rPr>
            </w:pPr>
            <w:r w:rsidRPr="002631AE">
              <w:rPr>
                <w:rFonts w:cs="Arial"/>
                <w:sz w:val="19"/>
                <w:szCs w:val="19"/>
              </w:rPr>
              <w:t>Loi concernant le cadre juridique des technologies de l’information (RLRQ, chapitre C-1.1)</w:t>
            </w:r>
          </w:p>
          <w:p w14:paraId="3FE7AC87" w14:textId="77777777" w:rsidR="00962F7F" w:rsidRPr="002631AE" w:rsidRDefault="00962F7F" w:rsidP="001122AB">
            <w:pPr>
              <w:numPr>
                <w:ilvl w:val="0"/>
                <w:numId w:val="6"/>
              </w:numPr>
              <w:spacing w:before="120" w:after="120"/>
              <w:ind w:left="252" w:hanging="252"/>
              <w:jc w:val="both"/>
              <w:rPr>
                <w:rFonts w:cs="Arial"/>
                <w:sz w:val="19"/>
                <w:szCs w:val="19"/>
              </w:rPr>
            </w:pPr>
            <w:r w:rsidRPr="002631AE">
              <w:rPr>
                <w:rFonts w:cs="Arial"/>
                <w:sz w:val="19"/>
                <w:szCs w:val="19"/>
              </w:rPr>
              <w:t xml:space="preserve">Loi sur Bibliothèque et Archives nationales du Québec (RLRQ, </w:t>
            </w:r>
            <w:r w:rsidRPr="002631AE">
              <w:rPr>
                <w:rFonts w:cs="Arial"/>
                <w:color w:val="333333"/>
                <w:sz w:val="19"/>
                <w:szCs w:val="19"/>
                <w:shd w:val="clear" w:color="auto" w:fill="FFFFFF"/>
              </w:rPr>
              <w:t>chapitre B-1.2)</w:t>
            </w:r>
          </w:p>
          <w:p w14:paraId="35D286C5" w14:textId="77777777" w:rsidR="00962F7F" w:rsidRPr="002631AE" w:rsidRDefault="00962F7F" w:rsidP="001122AB">
            <w:pPr>
              <w:numPr>
                <w:ilvl w:val="0"/>
                <w:numId w:val="6"/>
              </w:numPr>
              <w:spacing w:before="120" w:after="120"/>
              <w:ind w:left="252" w:hanging="252"/>
              <w:jc w:val="both"/>
              <w:rPr>
                <w:rFonts w:cs="Arial"/>
                <w:sz w:val="19"/>
                <w:szCs w:val="19"/>
              </w:rPr>
            </w:pPr>
            <w:r w:rsidRPr="002631AE">
              <w:rPr>
                <w:rFonts w:cs="Arial"/>
                <w:sz w:val="19"/>
                <w:szCs w:val="19"/>
              </w:rPr>
              <w:t>Loi sur l’accès aux documents des organismes publics et sur la protection des renseignements personnels (RLRQ, chapitre A-2.1)</w:t>
            </w:r>
          </w:p>
          <w:p w14:paraId="6888F13B" w14:textId="77777777" w:rsidR="00962F7F" w:rsidRPr="002631AE" w:rsidRDefault="00962F7F" w:rsidP="001122AB">
            <w:pPr>
              <w:numPr>
                <w:ilvl w:val="0"/>
                <w:numId w:val="6"/>
              </w:numPr>
              <w:spacing w:before="120" w:after="120"/>
              <w:ind w:left="252" w:hanging="252"/>
              <w:jc w:val="both"/>
              <w:rPr>
                <w:rFonts w:cs="Arial"/>
                <w:sz w:val="19"/>
                <w:szCs w:val="19"/>
              </w:rPr>
            </w:pPr>
            <w:r w:rsidRPr="002631AE">
              <w:rPr>
                <w:rFonts w:cs="Arial"/>
                <w:sz w:val="19"/>
                <w:szCs w:val="19"/>
              </w:rPr>
              <w:t>Loi sur le droit d’auteur (L.R.C. (1985), ch. C-42)</w:t>
            </w:r>
          </w:p>
          <w:p w14:paraId="689B5114" w14:textId="77777777" w:rsidR="00962F7F" w:rsidRPr="002631AE" w:rsidRDefault="00962F7F" w:rsidP="001122AB">
            <w:pPr>
              <w:numPr>
                <w:ilvl w:val="0"/>
                <w:numId w:val="6"/>
              </w:numPr>
              <w:spacing w:before="120" w:after="120"/>
              <w:ind w:left="252" w:hanging="252"/>
              <w:jc w:val="both"/>
              <w:rPr>
                <w:rFonts w:cs="Arial"/>
                <w:sz w:val="19"/>
                <w:szCs w:val="19"/>
              </w:rPr>
            </w:pPr>
            <w:r w:rsidRPr="002631AE">
              <w:rPr>
                <w:rFonts w:cs="Arial"/>
                <w:sz w:val="19"/>
                <w:szCs w:val="19"/>
              </w:rPr>
              <w:t>Loi sur le patrimoine culturel (RLRQ, chapitre P-9.002)</w:t>
            </w:r>
          </w:p>
          <w:p w14:paraId="298254A4" w14:textId="77777777" w:rsidR="00962F7F" w:rsidRDefault="00962F7F" w:rsidP="001122AB">
            <w:pPr>
              <w:numPr>
                <w:ilvl w:val="0"/>
                <w:numId w:val="6"/>
              </w:numPr>
              <w:spacing w:before="120" w:after="120"/>
              <w:ind w:left="252" w:hanging="252"/>
              <w:jc w:val="both"/>
              <w:rPr>
                <w:rFonts w:cs="Arial"/>
                <w:sz w:val="19"/>
                <w:szCs w:val="19"/>
              </w:rPr>
            </w:pPr>
            <w:r w:rsidRPr="002631AE">
              <w:rPr>
                <w:rFonts w:cs="Arial"/>
                <w:sz w:val="19"/>
                <w:szCs w:val="19"/>
              </w:rPr>
              <w:t>Loi sur les archives (RLRQ, chapitre A-21.1)</w:t>
            </w:r>
          </w:p>
          <w:p w14:paraId="07F5F265" w14:textId="77777777" w:rsidR="002631AE" w:rsidRPr="002631AE" w:rsidRDefault="002631AE" w:rsidP="002631AE">
            <w:pPr>
              <w:numPr>
                <w:ilvl w:val="0"/>
                <w:numId w:val="6"/>
              </w:numPr>
              <w:spacing w:before="120" w:after="120"/>
              <w:ind w:left="252" w:hanging="252"/>
              <w:jc w:val="both"/>
              <w:rPr>
                <w:rFonts w:cs="Arial"/>
                <w:sz w:val="19"/>
                <w:szCs w:val="19"/>
              </w:rPr>
            </w:pPr>
            <w:r w:rsidRPr="002631AE">
              <w:rPr>
                <w:rFonts w:cs="Arial"/>
                <w:sz w:val="19"/>
                <w:szCs w:val="19"/>
              </w:rPr>
              <w:t>Politique d'acquisition des archives privées de BAnQ</w:t>
            </w:r>
          </w:p>
          <w:p w14:paraId="0160C5DE" w14:textId="77777777" w:rsidR="002631AE" w:rsidRPr="002631AE" w:rsidRDefault="002631AE" w:rsidP="002631AE">
            <w:pPr>
              <w:numPr>
                <w:ilvl w:val="0"/>
                <w:numId w:val="6"/>
              </w:numPr>
              <w:spacing w:before="120" w:after="120"/>
              <w:ind w:left="252" w:hanging="252"/>
              <w:jc w:val="both"/>
              <w:rPr>
                <w:rFonts w:cs="Arial"/>
                <w:sz w:val="19"/>
                <w:szCs w:val="19"/>
              </w:rPr>
            </w:pPr>
            <w:r w:rsidRPr="002631AE">
              <w:rPr>
                <w:rFonts w:cs="Arial"/>
                <w:sz w:val="19"/>
                <w:szCs w:val="19"/>
              </w:rPr>
              <w:t>Règlement sur le calendrier de conservation, le versement, le dépôt et l’élimination des archives publiques</w:t>
            </w:r>
          </w:p>
          <w:p w14:paraId="78937976" w14:textId="77777777" w:rsidR="002631AE" w:rsidRPr="002631AE" w:rsidRDefault="002631AE" w:rsidP="002631AE">
            <w:pPr>
              <w:numPr>
                <w:ilvl w:val="0"/>
                <w:numId w:val="6"/>
              </w:numPr>
              <w:spacing w:before="120" w:after="120"/>
              <w:ind w:left="252" w:hanging="252"/>
              <w:jc w:val="both"/>
              <w:rPr>
                <w:rFonts w:cs="Arial"/>
                <w:sz w:val="19"/>
                <w:szCs w:val="19"/>
              </w:rPr>
            </w:pPr>
            <w:r w:rsidRPr="002631AE">
              <w:rPr>
                <w:rFonts w:cs="Arial"/>
                <w:sz w:val="19"/>
                <w:szCs w:val="19"/>
              </w:rPr>
              <w:t>Règlement sur le dépôt légal des documents publiés autres que les films </w:t>
            </w:r>
          </w:p>
          <w:p w14:paraId="4CA79D54" w14:textId="77777777" w:rsidR="002631AE" w:rsidRPr="002631AE" w:rsidRDefault="002631AE" w:rsidP="002631AE">
            <w:pPr>
              <w:numPr>
                <w:ilvl w:val="0"/>
                <w:numId w:val="6"/>
              </w:numPr>
              <w:spacing w:before="120" w:after="120"/>
              <w:ind w:left="252" w:hanging="252"/>
              <w:jc w:val="both"/>
              <w:rPr>
                <w:rFonts w:cs="Arial"/>
                <w:sz w:val="19"/>
                <w:szCs w:val="19"/>
              </w:rPr>
            </w:pPr>
            <w:r w:rsidRPr="002631AE">
              <w:rPr>
                <w:rFonts w:cs="Arial"/>
                <w:sz w:val="19"/>
                <w:szCs w:val="19"/>
              </w:rPr>
              <w:t>Règlement sur le dépôt légal des films</w:t>
            </w:r>
          </w:p>
        </w:tc>
      </w:tr>
      <w:tr w:rsidR="00962F7F" w:rsidRPr="002631AE" w14:paraId="0379A29B" w14:textId="77777777" w:rsidTr="004D38DB">
        <w:trPr>
          <w:trHeight w:val="1584"/>
        </w:trPr>
        <w:tc>
          <w:tcPr>
            <w:tcW w:w="2250" w:type="dxa"/>
            <w:tcBorders>
              <w:top w:val="single" w:sz="4" w:space="0" w:color="auto"/>
            </w:tcBorders>
          </w:tcPr>
          <w:p w14:paraId="49FFFACD" w14:textId="77777777" w:rsidR="00962F7F" w:rsidRPr="005D4F0A" w:rsidRDefault="00962F7F" w:rsidP="002631AE">
            <w:pPr>
              <w:spacing w:before="120" w:after="120"/>
              <w:ind w:left="252" w:hanging="252"/>
              <w:rPr>
                <w:rFonts w:cs="Arial"/>
                <w:sz w:val="19"/>
                <w:szCs w:val="19"/>
              </w:rPr>
            </w:pPr>
            <w:r w:rsidRPr="005D4F0A">
              <w:rPr>
                <w:rFonts w:cs="Arial"/>
                <w:sz w:val="19"/>
                <w:szCs w:val="19"/>
              </w:rPr>
              <w:t>2.</w:t>
            </w:r>
            <w:r w:rsidR="002631AE" w:rsidRPr="005D4F0A">
              <w:rPr>
                <w:rFonts w:cs="Arial"/>
                <w:sz w:val="19"/>
                <w:szCs w:val="19"/>
              </w:rPr>
              <w:tab/>
            </w:r>
            <w:r w:rsidRPr="005D4F0A">
              <w:rPr>
                <w:rFonts w:cs="Arial"/>
                <w:sz w:val="19"/>
                <w:szCs w:val="19"/>
              </w:rPr>
              <w:t>Politiques et orientations gouvernementales</w:t>
            </w:r>
          </w:p>
        </w:tc>
        <w:tc>
          <w:tcPr>
            <w:tcW w:w="6498" w:type="dxa"/>
            <w:tcBorders>
              <w:top w:val="single" w:sz="4" w:space="0" w:color="auto"/>
            </w:tcBorders>
          </w:tcPr>
          <w:p w14:paraId="7C456AC1" w14:textId="77777777" w:rsidR="00962F7F" w:rsidRPr="002631AE" w:rsidRDefault="00962F7F" w:rsidP="001122AB">
            <w:pPr>
              <w:spacing w:before="120" w:after="120"/>
              <w:jc w:val="both"/>
              <w:rPr>
                <w:rFonts w:cs="Arial"/>
                <w:sz w:val="19"/>
                <w:szCs w:val="19"/>
              </w:rPr>
            </w:pPr>
            <w:r w:rsidRPr="002631AE">
              <w:rPr>
                <w:rFonts w:cs="Arial"/>
                <w:sz w:val="19"/>
                <w:szCs w:val="19"/>
              </w:rPr>
              <w:t>Politiques et orientations gouvernementales en lien avec le patrimoine culturel :</w:t>
            </w:r>
          </w:p>
          <w:p w14:paraId="0E1D579E" w14:textId="77777777" w:rsidR="00962F7F" w:rsidRPr="002631AE" w:rsidRDefault="00962F7F" w:rsidP="001122AB">
            <w:pPr>
              <w:numPr>
                <w:ilvl w:val="0"/>
                <w:numId w:val="5"/>
              </w:numPr>
              <w:spacing w:before="120" w:after="120"/>
              <w:ind w:left="252" w:hanging="252"/>
              <w:jc w:val="both"/>
              <w:rPr>
                <w:rFonts w:cs="Arial"/>
                <w:sz w:val="19"/>
                <w:szCs w:val="19"/>
              </w:rPr>
            </w:pPr>
            <w:r w:rsidRPr="002631AE">
              <w:rPr>
                <w:rFonts w:cs="Arial"/>
                <w:sz w:val="19"/>
                <w:szCs w:val="19"/>
              </w:rPr>
              <w:t>La politique culturelle du Québec : Notre culture, notre avenir (1992)</w:t>
            </w:r>
          </w:p>
          <w:p w14:paraId="16B6F249" w14:textId="77777777" w:rsidR="00962F7F" w:rsidRPr="002631AE" w:rsidRDefault="00962F7F" w:rsidP="001122AB">
            <w:pPr>
              <w:numPr>
                <w:ilvl w:val="0"/>
                <w:numId w:val="5"/>
              </w:numPr>
              <w:spacing w:before="120" w:after="120"/>
              <w:ind w:left="252" w:hanging="252"/>
              <w:jc w:val="both"/>
              <w:rPr>
                <w:rFonts w:cs="Arial"/>
                <w:sz w:val="19"/>
                <w:szCs w:val="19"/>
              </w:rPr>
            </w:pPr>
            <w:r w:rsidRPr="002631AE">
              <w:rPr>
                <w:rFonts w:cs="Arial"/>
                <w:sz w:val="19"/>
                <w:szCs w:val="19"/>
              </w:rPr>
              <w:t>Partout, la culture : Politique québécoise de la culture, projet pour consultation (juin 2017)</w:t>
            </w:r>
          </w:p>
        </w:tc>
      </w:tr>
      <w:tr w:rsidR="00962F7F" w:rsidRPr="002631AE" w14:paraId="24DA2F5B" w14:textId="77777777" w:rsidTr="004D38DB">
        <w:trPr>
          <w:trHeight w:val="1080"/>
        </w:trPr>
        <w:tc>
          <w:tcPr>
            <w:tcW w:w="2250" w:type="dxa"/>
          </w:tcPr>
          <w:p w14:paraId="6C5FBDBE" w14:textId="77777777" w:rsidR="00962F7F" w:rsidRPr="005D4F0A" w:rsidRDefault="00962F7F" w:rsidP="002631AE">
            <w:pPr>
              <w:spacing w:before="120" w:after="120"/>
              <w:ind w:left="252" w:hanging="252"/>
              <w:rPr>
                <w:rFonts w:cs="Arial"/>
                <w:sz w:val="19"/>
                <w:szCs w:val="19"/>
              </w:rPr>
            </w:pPr>
            <w:r w:rsidRPr="005D4F0A">
              <w:rPr>
                <w:rFonts w:cs="Arial"/>
                <w:sz w:val="19"/>
                <w:szCs w:val="19"/>
              </w:rPr>
              <w:t>3.</w:t>
            </w:r>
            <w:r w:rsidR="002631AE" w:rsidRPr="005D4F0A">
              <w:rPr>
                <w:rFonts w:cs="Arial"/>
                <w:sz w:val="19"/>
                <w:szCs w:val="19"/>
              </w:rPr>
              <w:tab/>
            </w:r>
            <w:r w:rsidRPr="005D4F0A">
              <w:rPr>
                <w:rFonts w:cs="Arial"/>
                <w:sz w:val="19"/>
                <w:szCs w:val="19"/>
              </w:rPr>
              <w:t>Ressources disponibles</w:t>
            </w:r>
          </w:p>
          <w:p w14:paraId="2FFF0D06" w14:textId="77777777" w:rsidR="00962F7F" w:rsidRPr="005D4F0A" w:rsidRDefault="00962F7F" w:rsidP="002631AE">
            <w:pPr>
              <w:spacing w:before="120" w:after="120"/>
              <w:ind w:left="252" w:hanging="252"/>
              <w:jc w:val="both"/>
              <w:rPr>
                <w:rFonts w:cs="Arial"/>
                <w:sz w:val="19"/>
                <w:szCs w:val="19"/>
              </w:rPr>
            </w:pPr>
          </w:p>
        </w:tc>
        <w:tc>
          <w:tcPr>
            <w:tcW w:w="6498" w:type="dxa"/>
          </w:tcPr>
          <w:p w14:paraId="66A36157" w14:textId="77777777" w:rsidR="00962F7F" w:rsidRPr="002631AE" w:rsidRDefault="00962F7F" w:rsidP="001122AB">
            <w:pPr>
              <w:spacing w:before="120" w:after="120"/>
              <w:jc w:val="both"/>
              <w:rPr>
                <w:rFonts w:cs="Arial"/>
                <w:sz w:val="19"/>
                <w:szCs w:val="19"/>
              </w:rPr>
            </w:pPr>
            <w:r w:rsidRPr="002631AE">
              <w:rPr>
                <w:rFonts w:cs="Arial"/>
                <w:sz w:val="19"/>
                <w:szCs w:val="19"/>
              </w:rPr>
              <w:t xml:space="preserve">Les actions de BAnQ sont assujetties aux ressources humaines et matérielles à sa disposition. La DGAN se dotera de plans d’action qui tiendront compte des capacités financières et des responsabilités et obligations de BAnQ. </w:t>
            </w:r>
          </w:p>
        </w:tc>
      </w:tr>
    </w:tbl>
    <w:p w14:paraId="61578D59" w14:textId="77777777" w:rsidR="003601A8" w:rsidRPr="00CF35BC" w:rsidRDefault="003601A8" w:rsidP="00DD1D92">
      <w:pPr>
        <w:ind w:left="360"/>
        <w:contextualSpacing/>
        <w:jc w:val="both"/>
        <w:rPr>
          <w:rFonts w:cs="Arial"/>
          <w:b/>
          <w:sz w:val="21"/>
          <w:szCs w:val="21"/>
        </w:rPr>
      </w:pPr>
    </w:p>
    <w:p w14:paraId="76D6809F" w14:textId="77777777" w:rsidR="003601A8" w:rsidRPr="00CF35BC" w:rsidRDefault="003601A8">
      <w:pPr>
        <w:spacing w:after="200" w:line="276" w:lineRule="auto"/>
        <w:rPr>
          <w:rFonts w:cs="Arial"/>
          <w:b/>
          <w:sz w:val="21"/>
          <w:szCs w:val="21"/>
        </w:rPr>
      </w:pPr>
      <w:r w:rsidRPr="00CF35BC">
        <w:rPr>
          <w:rFonts w:cs="Arial"/>
          <w:b/>
          <w:sz w:val="21"/>
          <w:szCs w:val="21"/>
        </w:rPr>
        <w:br w:type="page"/>
      </w:r>
    </w:p>
    <w:p w14:paraId="1E11462E" w14:textId="77777777" w:rsidR="003601A8" w:rsidRPr="00CF35BC" w:rsidRDefault="00875A04" w:rsidP="003601A8">
      <w:pPr>
        <w:rPr>
          <w:rFonts w:cs="Arial"/>
          <w:b/>
          <w:sz w:val="21"/>
          <w:szCs w:val="21"/>
        </w:rPr>
      </w:pPr>
      <w:r w:rsidRPr="00CF35BC">
        <w:rPr>
          <w:rFonts w:cs="Arial"/>
          <w:b/>
          <w:sz w:val="21"/>
          <w:szCs w:val="21"/>
        </w:rPr>
        <w:lastRenderedPageBreak/>
        <w:t xml:space="preserve">ANNEXE </w:t>
      </w:r>
      <w:r w:rsidR="000868C2">
        <w:rPr>
          <w:rFonts w:cs="Arial"/>
          <w:b/>
          <w:sz w:val="21"/>
          <w:szCs w:val="21"/>
        </w:rPr>
        <w:t xml:space="preserve">– </w:t>
      </w:r>
      <w:r w:rsidR="003601A8" w:rsidRPr="00CF35BC">
        <w:rPr>
          <w:rFonts w:cs="Arial"/>
          <w:b/>
          <w:sz w:val="21"/>
          <w:szCs w:val="21"/>
        </w:rPr>
        <w:t>S</w:t>
      </w:r>
      <w:r w:rsidR="008C78A8">
        <w:rPr>
          <w:rFonts w:cs="Arial"/>
          <w:b/>
          <w:sz w:val="21"/>
          <w:szCs w:val="21"/>
        </w:rPr>
        <w:t>OURCES BIBLIOGRAPHIQUES</w:t>
      </w:r>
    </w:p>
    <w:p w14:paraId="17BE1447" w14:textId="77777777" w:rsidR="003601A8" w:rsidRPr="00CF35BC" w:rsidRDefault="003601A8" w:rsidP="003601A8">
      <w:pPr>
        <w:contextualSpacing/>
        <w:jc w:val="both"/>
        <w:rPr>
          <w:rFonts w:cs="Arial"/>
          <w:b/>
          <w:sz w:val="21"/>
          <w:szCs w:val="21"/>
        </w:rPr>
      </w:pPr>
    </w:p>
    <w:p w14:paraId="721C98CB" w14:textId="77777777" w:rsidR="003601A8" w:rsidRPr="00CF35BC" w:rsidRDefault="003601A8" w:rsidP="003601A8">
      <w:pPr>
        <w:autoSpaceDE w:val="0"/>
        <w:autoSpaceDN w:val="0"/>
        <w:adjustRightInd w:val="0"/>
        <w:rPr>
          <w:rFonts w:cs="Arial"/>
          <w:sz w:val="21"/>
          <w:szCs w:val="21"/>
          <w:lang w:val="en-CA"/>
        </w:rPr>
      </w:pPr>
      <w:r w:rsidRPr="000B5794">
        <w:rPr>
          <w:rFonts w:cs="Arial"/>
          <w:sz w:val="21"/>
          <w:szCs w:val="21"/>
          <w:lang w:val="en-CA"/>
        </w:rPr>
        <w:t xml:space="preserve">BOLES, F., J. M. YOUNG. </w:t>
      </w:r>
      <w:r w:rsidRPr="00CF35BC">
        <w:rPr>
          <w:rFonts w:cs="Arial"/>
          <w:i/>
          <w:iCs/>
          <w:sz w:val="21"/>
          <w:szCs w:val="21"/>
          <w:lang w:val="en-CA"/>
        </w:rPr>
        <w:t>Archival Appraisal</w:t>
      </w:r>
      <w:r w:rsidRPr="00CF35BC">
        <w:rPr>
          <w:rFonts w:cs="Arial"/>
          <w:sz w:val="21"/>
          <w:szCs w:val="21"/>
          <w:lang w:val="en-CA"/>
        </w:rPr>
        <w:t xml:space="preserve">. New </w:t>
      </w:r>
      <w:proofErr w:type="gramStart"/>
      <w:r w:rsidRPr="00CF35BC">
        <w:rPr>
          <w:rFonts w:cs="Arial"/>
          <w:sz w:val="21"/>
          <w:szCs w:val="21"/>
          <w:lang w:val="en-CA"/>
        </w:rPr>
        <w:t>York :</w:t>
      </w:r>
      <w:proofErr w:type="gramEnd"/>
      <w:r w:rsidRPr="00CF35BC">
        <w:rPr>
          <w:rFonts w:cs="Arial"/>
          <w:sz w:val="21"/>
          <w:szCs w:val="21"/>
          <w:lang w:val="en-CA"/>
        </w:rPr>
        <w:t xml:space="preserve"> Neal-Schuman Publishers, 1991.</w:t>
      </w:r>
    </w:p>
    <w:p w14:paraId="4E1E9C01" w14:textId="77777777" w:rsidR="003601A8" w:rsidRPr="00CF35BC" w:rsidRDefault="003601A8" w:rsidP="003601A8">
      <w:pPr>
        <w:contextualSpacing/>
        <w:jc w:val="both"/>
        <w:rPr>
          <w:rFonts w:cs="Arial"/>
          <w:sz w:val="21"/>
          <w:szCs w:val="21"/>
          <w:lang w:val="en-CA"/>
        </w:rPr>
      </w:pPr>
    </w:p>
    <w:p w14:paraId="0753C0BD" w14:textId="77777777" w:rsidR="003601A8" w:rsidRPr="00CF35BC" w:rsidRDefault="003601A8" w:rsidP="003601A8">
      <w:pPr>
        <w:contextualSpacing/>
        <w:jc w:val="both"/>
        <w:rPr>
          <w:rFonts w:cs="Arial"/>
          <w:sz w:val="21"/>
          <w:szCs w:val="21"/>
        </w:rPr>
      </w:pPr>
      <w:r w:rsidRPr="00CF35BC">
        <w:rPr>
          <w:rFonts w:cs="Arial"/>
          <w:sz w:val="21"/>
          <w:szCs w:val="21"/>
        </w:rPr>
        <w:t xml:space="preserve">CHARBONNEAU Normand, Florian Daveau, François David, Frédéric Giuliano. </w:t>
      </w:r>
      <w:r w:rsidRPr="00CF35BC">
        <w:rPr>
          <w:rFonts w:cs="Arial"/>
          <w:i/>
          <w:sz w:val="21"/>
          <w:szCs w:val="21"/>
        </w:rPr>
        <w:t>La diffusion et la mise en valeur des archives. L’archiviste devenu entrepreneur</w:t>
      </w:r>
      <w:r w:rsidRPr="00CF35BC">
        <w:rPr>
          <w:rFonts w:cs="Arial"/>
          <w:sz w:val="21"/>
          <w:szCs w:val="21"/>
        </w:rPr>
        <w:t xml:space="preserve"> dans </w:t>
      </w:r>
      <w:r w:rsidRPr="00CF35BC">
        <w:rPr>
          <w:rFonts w:cs="Arial"/>
          <w:i/>
          <w:sz w:val="21"/>
          <w:szCs w:val="21"/>
        </w:rPr>
        <w:t>Panorama de l’archivistique contemporaine. Évolution de la discipline et de la profession. Mélanges offerts à Carol Couture</w:t>
      </w:r>
      <w:r w:rsidRPr="00CF35BC">
        <w:rPr>
          <w:rFonts w:cs="Arial"/>
          <w:sz w:val="21"/>
          <w:szCs w:val="21"/>
        </w:rPr>
        <w:t>, Presses de l’Université du Québec, 2015.</w:t>
      </w:r>
    </w:p>
    <w:p w14:paraId="3315B521" w14:textId="77777777" w:rsidR="003601A8" w:rsidRPr="00CF35BC" w:rsidRDefault="003601A8" w:rsidP="003601A8">
      <w:pPr>
        <w:contextualSpacing/>
        <w:jc w:val="both"/>
        <w:rPr>
          <w:rFonts w:cs="Arial"/>
          <w:sz w:val="21"/>
          <w:szCs w:val="21"/>
        </w:rPr>
      </w:pPr>
    </w:p>
    <w:p w14:paraId="62D27BBE" w14:textId="77777777" w:rsidR="003601A8" w:rsidRPr="00CF35BC" w:rsidRDefault="003601A8" w:rsidP="003601A8">
      <w:pPr>
        <w:autoSpaceDE w:val="0"/>
        <w:autoSpaceDN w:val="0"/>
        <w:adjustRightInd w:val="0"/>
        <w:rPr>
          <w:rFonts w:cs="Arial"/>
          <w:sz w:val="21"/>
          <w:szCs w:val="21"/>
        </w:rPr>
      </w:pPr>
      <w:r w:rsidRPr="00CF35BC">
        <w:rPr>
          <w:rFonts w:cs="Arial"/>
          <w:sz w:val="21"/>
          <w:szCs w:val="21"/>
        </w:rPr>
        <w:t>DURAND, Guy.</w:t>
      </w:r>
      <w:r w:rsidRPr="00CF35BC">
        <w:rPr>
          <w:rFonts w:cs="Arial"/>
          <w:b/>
          <w:bCs/>
          <w:sz w:val="21"/>
          <w:szCs w:val="21"/>
        </w:rPr>
        <w:t xml:space="preserve"> </w:t>
      </w:r>
      <w:r w:rsidRPr="00CF35BC">
        <w:rPr>
          <w:rFonts w:cs="Arial"/>
          <w:bCs/>
          <w:i/>
          <w:sz w:val="21"/>
          <w:szCs w:val="21"/>
        </w:rPr>
        <w:t>Identité québécoise et accommodements raisonnables</w:t>
      </w:r>
      <w:r w:rsidRPr="00CF35BC">
        <w:rPr>
          <w:rFonts w:cs="Arial"/>
          <w:bCs/>
          <w:sz w:val="21"/>
          <w:szCs w:val="21"/>
        </w:rPr>
        <w:t>.</w:t>
      </w:r>
      <w:r w:rsidRPr="00CF35BC">
        <w:rPr>
          <w:rFonts w:cs="Arial"/>
          <w:b/>
          <w:bCs/>
          <w:sz w:val="21"/>
          <w:szCs w:val="21"/>
        </w:rPr>
        <w:t xml:space="preserve"> </w:t>
      </w:r>
      <w:r w:rsidRPr="00CF35BC">
        <w:rPr>
          <w:rFonts w:cs="Arial"/>
          <w:bCs/>
          <w:sz w:val="21"/>
          <w:szCs w:val="21"/>
        </w:rPr>
        <w:t>Mémoire à la Commission Bouchard-Taylor. S</w:t>
      </w:r>
      <w:r w:rsidRPr="00CF35BC">
        <w:rPr>
          <w:rFonts w:cs="Arial"/>
          <w:sz w:val="21"/>
          <w:szCs w:val="21"/>
        </w:rPr>
        <w:t>eptembre 2007.</w:t>
      </w:r>
      <w:r w:rsidR="00524756">
        <w:rPr>
          <w:rFonts w:cs="Arial"/>
          <w:sz w:val="21"/>
          <w:szCs w:val="21"/>
        </w:rPr>
        <w:t xml:space="preserve"> </w:t>
      </w:r>
      <w:hyperlink r:id="rId9" w:history="1">
        <w:r w:rsidR="00524756" w:rsidRPr="00597B82">
          <w:rPr>
            <w:rStyle w:val="Lienhypertexte"/>
            <w:rFonts w:cs="Arial"/>
            <w:sz w:val="21"/>
            <w:szCs w:val="21"/>
          </w:rPr>
          <w:t>http://www.gdcr.umontreal.ca/documents/Durand_Guy.pdf</w:t>
        </w:r>
      </w:hyperlink>
      <w:r w:rsidRPr="00CF35BC">
        <w:rPr>
          <w:rFonts w:cs="Arial"/>
          <w:color w:val="0000FF" w:themeColor="hyperlink"/>
          <w:sz w:val="21"/>
          <w:szCs w:val="21"/>
          <w:u w:val="single"/>
        </w:rPr>
        <w:t xml:space="preserve"> </w:t>
      </w:r>
      <w:r w:rsidR="00524756">
        <w:rPr>
          <w:rFonts w:cs="Arial"/>
          <w:color w:val="0000FF" w:themeColor="hyperlink"/>
          <w:sz w:val="21"/>
          <w:szCs w:val="21"/>
        </w:rPr>
        <w:t xml:space="preserve"> </w:t>
      </w:r>
      <w:r w:rsidRPr="00CF35BC">
        <w:rPr>
          <w:rFonts w:cs="Arial"/>
          <w:sz w:val="21"/>
          <w:szCs w:val="21"/>
        </w:rPr>
        <w:t>(document consulté le 11 décembre 2017).</w:t>
      </w:r>
    </w:p>
    <w:p w14:paraId="3FE2102D" w14:textId="77777777" w:rsidR="003601A8" w:rsidRPr="00CF35BC" w:rsidRDefault="003601A8" w:rsidP="003601A8">
      <w:pPr>
        <w:contextualSpacing/>
        <w:jc w:val="both"/>
        <w:rPr>
          <w:rFonts w:cs="Arial"/>
          <w:sz w:val="21"/>
          <w:szCs w:val="21"/>
        </w:rPr>
      </w:pPr>
    </w:p>
    <w:p w14:paraId="5E935441" w14:textId="77777777" w:rsidR="003601A8" w:rsidRPr="00CF35BC" w:rsidRDefault="003601A8" w:rsidP="003601A8">
      <w:pPr>
        <w:autoSpaceDE w:val="0"/>
        <w:autoSpaceDN w:val="0"/>
        <w:adjustRightInd w:val="0"/>
        <w:rPr>
          <w:rFonts w:cs="Arial"/>
          <w:sz w:val="21"/>
          <w:szCs w:val="21"/>
          <w:lang w:val="en-CA"/>
        </w:rPr>
      </w:pPr>
      <w:r w:rsidRPr="00CF35BC">
        <w:rPr>
          <w:rFonts w:cs="Arial"/>
          <w:sz w:val="21"/>
          <w:szCs w:val="21"/>
        </w:rPr>
        <w:t xml:space="preserve">DURANTI, L., et H. MACNEIL. </w:t>
      </w:r>
      <w:r w:rsidRPr="00CF35BC">
        <w:rPr>
          <w:rFonts w:cs="Arial"/>
          <w:sz w:val="21"/>
          <w:szCs w:val="21"/>
          <w:lang w:val="en-CA"/>
        </w:rPr>
        <w:t xml:space="preserve">The Protection of the Integrity of Electronic </w:t>
      </w:r>
      <w:proofErr w:type="gramStart"/>
      <w:r w:rsidRPr="00CF35BC">
        <w:rPr>
          <w:rFonts w:cs="Arial"/>
          <w:sz w:val="21"/>
          <w:szCs w:val="21"/>
          <w:lang w:val="en-CA"/>
        </w:rPr>
        <w:t>Records :</w:t>
      </w:r>
      <w:proofErr w:type="gramEnd"/>
      <w:r w:rsidRPr="00CF35BC">
        <w:rPr>
          <w:rFonts w:cs="Arial"/>
          <w:sz w:val="21"/>
          <w:szCs w:val="21"/>
          <w:lang w:val="en-CA"/>
        </w:rPr>
        <w:t xml:space="preserve"> An Overview of the UBC-MAS Research Project. </w:t>
      </w:r>
      <w:proofErr w:type="spellStart"/>
      <w:r w:rsidRPr="00CF35BC">
        <w:rPr>
          <w:rFonts w:cs="Arial"/>
          <w:i/>
          <w:iCs/>
          <w:sz w:val="21"/>
          <w:szCs w:val="21"/>
          <w:lang w:val="en-CA"/>
        </w:rPr>
        <w:t>Archivaria</w:t>
      </w:r>
      <w:proofErr w:type="spellEnd"/>
      <w:r w:rsidRPr="00CF35BC">
        <w:rPr>
          <w:rFonts w:cs="Arial"/>
          <w:i/>
          <w:iCs/>
          <w:sz w:val="21"/>
          <w:szCs w:val="21"/>
          <w:lang w:val="en-CA"/>
        </w:rPr>
        <w:t xml:space="preserve">, 42 </w:t>
      </w:r>
      <w:r w:rsidRPr="00CF35BC">
        <w:rPr>
          <w:rFonts w:cs="Arial"/>
          <w:sz w:val="21"/>
          <w:szCs w:val="21"/>
          <w:lang w:val="en-CA"/>
        </w:rPr>
        <w:t>(Fall 1996), 46-67.</w:t>
      </w:r>
    </w:p>
    <w:p w14:paraId="55142D82" w14:textId="77777777" w:rsidR="003601A8" w:rsidRPr="00CF35BC" w:rsidRDefault="003601A8" w:rsidP="003601A8">
      <w:pPr>
        <w:contextualSpacing/>
        <w:jc w:val="both"/>
        <w:rPr>
          <w:rFonts w:cs="Arial"/>
          <w:sz w:val="21"/>
          <w:szCs w:val="21"/>
          <w:lang w:val="en-CA"/>
        </w:rPr>
      </w:pPr>
    </w:p>
    <w:p w14:paraId="0222C3A6" w14:textId="77777777" w:rsidR="003601A8" w:rsidRPr="00CF35BC" w:rsidRDefault="003601A8" w:rsidP="003601A8">
      <w:pPr>
        <w:autoSpaceDE w:val="0"/>
        <w:autoSpaceDN w:val="0"/>
        <w:adjustRightInd w:val="0"/>
        <w:rPr>
          <w:rFonts w:cs="Arial"/>
          <w:sz w:val="21"/>
          <w:szCs w:val="21"/>
          <w:lang w:val="en-CA"/>
        </w:rPr>
      </w:pPr>
      <w:r w:rsidRPr="00CF35BC">
        <w:rPr>
          <w:rFonts w:cs="Arial"/>
          <w:sz w:val="21"/>
          <w:szCs w:val="21"/>
          <w:lang w:val="en-CA"/>
        </w:rPr>
        <w:t xml:space="preserve">EASTWOOD, T. </w:t>
      </w:r>
      <w:r w:rsidRPr="00CF35BC">
        <w:rPr>
          <w:rFonts w:cs="Arial"/>
          <w:i/>
          <w:iCs/>
          <w:sz w:val="21"/>
          <w:szCs w:val="21"/>
          <w:lang w:val="en-CA"/>
        </w:rPr>
        <w:t xml:space="preserve">The Archival </w:t>
      </w:r>
      <w:proofErr w:type="gramStart"/>
      <w:r w:rsidRPr="00CF35BC">
        <w:rPr>
          <w:rFonts w:cs="Arial"/>
          <w:i/>
          <w:iCs/>
          <w:sz w:val="21"/>
          <w:szCs w:val="21"/>
          <w:lang w:val="en-CA"/>
        </w:rPr>
        <w:t>Fonds :</w:t>
      </w:r>
      <w:proofErr w:type="gramEnd"/>
      <w:r w:rsidRPr="00CF35BC">
        <w:rPr>
          <w:rFonts w:cs="Arial"/>
          <w:i/>
          <w:iCs/>
          <w:sz w:val="21"/>
          <w:szCs w:val="21"/>
          <w:lang w:val="en-CA"/>
        </w:rPr>
        <w:t xml:space="preserve"> from Theory to Practice</w:t>
      </w:r>
      <w:r w:rsidRPr="00CF35BC">
        <w:rPr>
          <w:rFonts w:cs="Arial"/>
          <w:sz w:val="21"/>
          <w:szCs w:val="21"/>
          <w:lang w:val="en-CA"/>
        </w:rPr>
        <w:t>. Ottawa: Bureau of Canadian Archivists Planning Committee on Descriptive Standards = Bureau</w:t>
      </w:r>
    </w:p>
    <w:p w14:paraId="0AB86E9B" w14:textId="77777777" w:rsidR="003601A8" w:rsidRPr="00CF35BC" w:rsidRDefault="003601A8" w:rsidP="003601A8">
      <w:pPr>
        <w:contextualSpacing/>
        <w:jc w:val="both"/>
        <w:rPr>
          <w:rFonts w:cs="Arial"/>
          <w:sz w:val="21"/>
          <w:szCs w:val="21"/>
        </w:rPr>
      </w:pPr>
      <w:r w:rsidRPr="00CF35BC">
        <w:rPr>
          <w:rFonts w:cs="Arial"/>
          <w:sz w:val="21"/>
          <w:szCs w:val="21"/>
        </w:rPr>
        <w:t>Canadien des archivistes Comité de planification sur les normes de description, 1992.</w:t>
      </w:r>
    </w:p>
    <w:p w14:paraId="6077E5BC" w14:textId="77777777" w:rsidR="003601A8" w:rsidRPr="00CF35BC" w:rsidRDefault="003601A8" w:rsidP="003601A8">
      <w:pPr>
        <w:contextualSpacing/>
        <w:jc w:val="both"/>
        <w:rPr>
          <w:rFonts w:cs="Arial"/>
          <w:sz w:val="21"/>
          <w:szCs w:val="21"/>
        </w:rPr>
      </w:pPr>
    </w:p>
    <w:p w14:paraId="72B53B52" w14:textId="77777777" w:rsidR="003601A8" w:rsidRPr="00CF35BC" w:rsidRDefault="003601A8" w:rsidP="003601A8">
      <w:pPr>
        <w:contextualSpacing/>
        <w:jc w:val="both"/>
        <w:rPr>
          <w:rFonts w:cs="Arial"/>
          <w:sz w:val="21"/>
          <w:szCs w:val="21"/>
        </w:rPr>
      </w:pPr>
      <w:r w:rsidRPr="00CF35BC">
        <w:rPr>
          <w:rFonts w:cs="Arial"/>
          <w:sz w:val="21"/>
          <w:szCs w:val="21"/>
        </w:rPr>
        <w:t xml:space="preserve">Groupe-conseil sur la Politique du patrimoine culturel du Québec, </w:t>
      </w:r>
      <w:r w:rsidRPr="00CF35BC">
        <w:rPr>
          <w:rFonts w:cs="Arial"/>
          <w:i/>
          <w:sz w:val="21"/>
          <w:szCs w:val="21"/>
        </w:rPr>
        <w:t>Notre patrimoine, un présent du passé</w:t>
      </w:r>
      <w:r w:rsidRPr="00CF35BC">
        <w:rPr>
          <w:rFonts w:cs="Arial"/>
          <w:sz w:val="21"/>
          <w:szCs w:val="21"/>
        </w:rPr>
        <w:t>, novembre 2000.</w:t>
      </w:r>
    </w:p>
    <w:p w14:paraId="2DB1A822" w14:textId="77777777" w:rsidR="003601A8" w:rsidRPr="00CF35BC" w:rsidRDefault="00000000" w:rsidP="003601A8">
      <w:pPr>
        <w:contextualSpacing/>
        <w:jc w:val="both"/>
        <w:rPr>
          <w:rFonts w:cs="Arial"/>
          <w:sz w:val="21"/>
          <w:szCs w:val="21"/>
        </w:rPr>
      </w:pPr>
      <w:hyperlink r:id="rId10" w:history="1">
        <w:r w:rsidR="003601A8" w:rsidRPr="00CF35BC">
          <w:rPr>
            <w:rFonts w:cs="Arial"/>
            <w:color w:val="0000FF" w:themeColor="hyperlink"/>
            <w:sz w:val="21"/>
            <w:szCs w:val="21"/>
            <w:u w:val="single"/>
          </w:rPr>
          <w:t>http://bel.uqtr.ca/1239/1/6-19-681-20060117-1.pdf</w:t>
        </w:r>
      </w:hyperlink>
      <w:r w:rsidR="003601A8" w:rsidRPr="00CF35BC">
        <w:rPr>
          <w:rFonts w:cs="Arial"/>
          <w:sz w:val="21"/>
          <w:szCs w:val="21"/>
        </w:rPr>
        <w:t xml:space="preserve"> (document consulté le 11 décembre 2017).</w:t>
      </w:r>
    </w:p>
    <w:p w14:paraId="138BF732" w14:textId="77777777" w:rsidR="003601A8" w:rsidRPr="00CF35BC" w:rsidRDefault="003601A8" w:rsidP="003601A8">
      <w:pPr>
        <w:contextualSpacing/>
        <w:jc w:val="both"/>
        <w:rPr>
          <w:rFonts w:cs="Arial"/>
          <w:sz w:val="21"/>
          <w:szCs w:val="21"/>
        </w:rPr>
      </w:pPr>
    </w:p>
    <w:p w14:paraId="7B9700A4" w14:textId="77777777" w:rsidR="003601A8" w:rsidRPr="00CF35BC" w:rsidRDefault="003601A8" w:rsidP="003601A8">
      <w:pPr>
        <w:autoSpaceDE w:val="0"/>
        <w:autoSpaceDN w:val="0"/>
        <w:adjustRightInd w:val="0"/>
        <w:rPr>
          <w:rFonts w:cs="Arial"/>
          <w:color w:val="000000"/>
          <w:sz w:val="21"/>
          <w:szCs w:val="21"/>
        </w:rPr>
      </w:pPr>
      <w:proofErr w:type="spellStart"/>
      <w:r w:rsidRPr="00CF35BC">
        <w:rPr>
          <w:rFonts w:cs="Arial"/>
          <w:color w:val="000000"/>
          <w:sz w:val="21"/>
          <w:szCs w:val="21"/>
        </w:rPr>
        <w:t>InterPARES</w:t>
      </w:r>
      <w:proofErr w:type="spellEnd"/>
      <w:r w:rsidRPr="00CF35BC">
        <w:rPr>
          <w:rFonts w:cs="Arial"/>
          <w:color w:val="000000"/>
          <w:sz w:val="21"/>
          <w:szCs w:val="21"/>
        </w:rPr>
        <w:t xml:space="preserve"> 2 </w:t>
      </w:r>
      <w:proofErr w:type="spellStart"/>
      <w:r w:rsidRPr="00CF35BC">
        <w:rPr>
          <w:rFonts w:cs="Arial"/>
          <w:color w:val="000000"/>
          <w:sz w:val="21"/>
          <w:szCs w:val="21"/>
        </w:rPr>
        <w:t>Terminology</w:t>
      </w:r>
      <w:proofErr w:type="spellEnd"/>
      <w:r w:rsidRPr="00CF35BC">
        <w:rPr>
          <w:rFonts w:cs="Arial"/>
          <w:color w:val="000000"/>
          <w:sz w:val="21"/>
          <w:szCs w:val="21"/>
        </w:rPr>
        <w:t xml:space="preserve"> </w:t>
      </w:r>
      <w:proofErr w:type="spellStart"/>
      <w:r w:rsidRPr="00CF35BC">
        <w:rPr>
          <w:rFonts w:cs="Arial"/>
          <w:color w:val="000000"/>
          <w:sz w:val="21"/>
          <w:szCs w:val="21"/>
        </w:rPr>
        <w:t>Database</w:t>
      </w:r>
      <w:proofErr w:type="spellEnd"/>
      <w:r w:rsidRPr="00CF35BC">
        <w:rPr>
          <w:rFonts w:cs="Arial"/>
          <w:color w:val="000000"/>
          <w:sz w:val="21"/>
          <w:szCs w:val="21"/>
        </w:rPr>
        <w:t xml:space="preserve">. </w:t>
      </w:r>
      <w:proofErr w:type="spellStart"/>
      <w:r w:rsidRPr="00CF35BC">
        <w:rPr>
          <w:rFonts w:cs="Arial"/>
          <w:color w:val="000000"/>
          <w:sz w:val="21"/>
          <w:szCs w:val="21"/>
        </w:rPr>
        <w:t>InterPARES</w:t>
      </w:r>
      <w:proofErr w:type="spellEnd"/>
      <w:r w:rsidRPr="00CF35BC">
        <w:rPr>
          <w:rFonts w:cs="Arial"/>
          <w:color w:val="000000"/>
          <w:sz w:val="21"/>
          <w:szCs w:val="21"/>
        </w:rPr>
        <w:t xml:space="preserve"> 2 Project </w:t>
      </w:r>
      <w:proofErr w:type="spellStart"/>
      <w:r w:rsidRPr="00CF35BC">
        <w:rPr>
          <w:rFonts w:cs="Arial"/>
          <w:color w:val="000000"/>
          <w:sz w:val="21"/>
          <w:szCs w:val="21"/>
        </w:rPr>
        <w:t>Dictionary</w:t>
      </w:r>
      <w:proofErr w:type="spellEnd"/>
      <w:r w:rsidRPr="00CF35BC">
        <w:rPr>
          <w:rFonts w:cs="Arial"/>
          <w:color w:val="000000"/>
          <w:sz w:val="21"/>
          <w:szCs w:val="21"/>
        </w:rPr>
        <w:t>, 2010.</w:t>
      </w:r>
    </w:p>
    <w:p w14:paraId="6B009EB8" w14:textId="77777777" w:rsidR="003601A8" w:rsidRPr="00CF35BC" w:rsidRDefault="003601A8" w:rsidP="003601A8">
      <w:pPr>
        <w:contextualSpacing/>
        <w:jc w:val="both"/>
        <w:rPr>
          <w:rFonts w:cs="Arial"/>
          <w:sz w:val="21"/>
          <w:szCs w:val="21"/>
        </w:rPr>
      </w:pPr>
      <w:r w:rsidRPr="00CF35BC">
        <w:rPr>
          <w:rFonts w:cs="Arial"/>
          <w:color w:val="0000FF"/>
          <w:sz w:val="21"/>
          <w:szCs w:val="21"/>
        </w:rPr>
        <w:t>http://www.interpares.org/ip2/ip2_terminology_db.cfm</w:t>
      </w:r>
    </w:p>
    <w:p w14:paraId="11D5DE86" w14:textId="77777777" w:rsidR="003601A8" w:rsidRPr="00CF35BC" w:rsidRDefault="003601A8" w:rsidP="003601A8">
      <w:pPr>
        <w:contextualSpacing/>
        <w:jc w:val="both"/>
        <w:rPr>
          <w:rFonts w:cs="Arial"/>
          <w:sz w:val="21"/>
          <w:szCs w:val="21"/>
        </w:rPr>
      </w:pPr>
    </w:p>
    <w:p w14:paraId="54C680E3" w14:textId="77777777" w:rsidR="003601A8" w:rsidRPr="00CF35BC" w:rsidRDefault="003601A8" w:rsidP="003601A8">
      <w:pPr>
        <w:contextualSpacing/>
        <w:jc w:val="both"/>
        <w:rPr>
          <w:rFonts w:cs="Arial"/>
          <w:sz w:val="21"/>
          <w:szCs w:val="21"/>
        </w:rPr>
      </w:pPr>
      <w:r w:rsidRPr="00CF35BC">
        <w:rPr>
          <w:rFonts w:cs="Arial"/>
          <w:sz w:val="21"/>
          <w:szCs w:val="21"/>
        </w:rPr>
        <w:t>Loi concernant le cadre juridique des technologies de l’information (RLRQ, chapitre C-1.1)</w:t>
      </w:r>
    </w:p>
    <w:p w14:paraId="5E4B65DF" w14:textId="77777777" w:rsidR="003601A8" w:rsidRPr="00CF35BC" w:rsidRDefault="00000000" w:rsidP="003601A8">
      <w:pPr>
        <w:contextualSpacing/>
        <w:jc w:val="both"/>
        <w:rPr>
          <w:rFonts w:cs="Arial"/>
          <w:sz w:val="21"/>
          <w:szCs w:val="21"/>
        </w:rPr>
      </w:pPr>
      <w:hyperlink r:id="rId11" w:history="1">
        <w:r w:rsidR="003601A8" w:rsidRPr="00CF35BC">
          <w:rPr>
            <w:rFonts w:cs="Arial"/>
            <w:color w:val="0000FF" w:themeColor="hyperlink"/>
            <w:sz w:val="21"/>
            <w:szCs w:val="21"/>
            <w:u w:val="single"/>
          </w:rPr>
          <w:t>http://legisquebec.gouv.qc.ca/fr/ShowDoc/cs/C-1.1</w:t>
        </w:r>
      </w:hyperlink>
      <w:r w:rsidR="003601A8" w:rsidRPr="00CF35BC">
        <w:rPr>
          <w:rFonts w:cs="Arial"/>
          <w:sz w:val="21"/>
          <w:szCs w:val="21"/>
        </w:rPr>
        <w:t xml:space="preserve"> (document consulté le 22 octobre 2018).</w:t>
      </w:r>
    </w:p>
    <w:p w14:paraId="0D8FFAF3" w14:textId="77777777" w:rsidR="003601A8" w:rsidRPr="00CF35BC" w:rsidRDefault="003601A8" w:rsidP="003601A8">
      <w:pPr>
        <w:contextualSpacing/>
        <w:jc w:val="both"/>
        <w:rPr>
          <w:rFonts w:cs="Arial"/>
          <w:sz w:val="21"/>
          <w:szCs w:val="21"/>
        </w:rPr>
      </w:pPr>
    </w:p>
    <w:p w14:paraId="679AF512" w14:textId="77777777" w:rsidR="003601A8" w:rsidRPr="00CF35BC" w:rsidRDefault="003601A8" w:rsidP="003601A8">
      <w:pPr>
        <w:contextualSpacing/>
        <w:jc w:val="both"/>
        <w:rPr>
          <w:rFonts w:cs="Arial"/>
          <w:sz w:val="21"/>
          <w:szCs w:val="21"/>
        </w:rPr>
      </w:pPr>
      <w:r w:rsidRPr="00CF35BC">
        <w:rPr>
          <w:rFonts w:cs="Arial"/>
          <w:sz w:val="21"/>
          <w:szCs w:val="21"/>
        </w:rPr>
        <w:t>Loi sur les archives (chapitre A-21.1)</w:t>
      </w:r>
    </w:p>
    <w:p w14:paraId="3EB8A79A" w14:textId="77777777" w:rsidR="003601A8" w:rsidRPr="00CF35BC" w:rsidRDefault="00000000" w:rsidP="003601A8">
      <w:pPr>
        <w:contextualSpacing/>
        <w:jc w:val="both"/>
        <w:rPr>
          <w:rFonts w:cs="Arial"/>
          <w:color w:val="0000FF" w:themeColor="hyperlink"/>
          <w:sz w:val="21"/>
          <w:szCs w:val="21"/>
          <w:u w:val="single"/>
        </w:rPr>
      </w:pPr>
      <w:hyperlink r:id="rId12" w:history="1">
        <w:r w:rsidR="003601A8" w:rsidRPr="00CF35BC">
          <w:rPr>
            <w:rFonts w:cs="Arial"/>
            <w:color w:val="0000FF" w:themeColor="hyperlink"/>
            <w:sz w:val="21"/>
            <w:szCs w:val="21"/>
            <w:u w:val="single"/>
          </w:rPr>
          <w:t>http://legisquebec.gouv.qc.ca/fr/ShowDoc/cs/A-21.1</w:t>
        </w:r>
      </w:hyperlink>
      <w:r w:rsidR="003601A8" w:rsidRPr="00CF35BC">
        <w:rPr>
          <w:rFonts w:cs="Arial"/>
          <w:sz w:val="21"/>
          <w:szCs w:val="21"/>
        </w:rPr>
        <w:t xml:space="preserve"> (RLRQ, document consulté le 22 octobre 2018).</w:t>
      </w:r>
    </w:p>
    <w:p w14:paraId="4D02A6A5" w14:textId="77777777" w:rsidR="003601A8" w:rsidRPr="00CF35BC" w:rsidRDefault="003601A8" w:rsidP="003601A8">
      <w:pPr>
        <w:contextualSpacing/>
        <w:jc w:val="both"/>
        <w:rPr>
          <w:rFonts w:cs="Arial"/>
          <w:sz w:val="21"/>
          <w:szCs w:val="21"/>
        </w:rPr>
      </w:pPr>
    </w:p>
    <w:p w14:paraId="79BFF0C3" w14:textId="77777777" w:rsidR="003601A8" w:rsidRPr="00CF35BC" w:rsidRDefault="003601A8" w:rsidP="003601A8">
      <w:pPr>
        <w:contextualSpacing/>
        <w:jc w:val="both"/>
        <w:rPr>
          <w:rFonts w:cs="Arial"/>
          <w:b/>
          <w:sz w:val="21"/>
          <w:szCs w:val="21"/>
        </w:rPr>
      </w:pPr>
      <w:r w:rsidRPr="00CF35BC">
        <w:rPr>
          <w:rFonts w:cs="Arial"/>
          <w:sz w:val="21"/>
          <w:szCs w:val="21"/>
        </w:rPr>
        <w:t xml:space="preserve">MAKHLOUF SHABOU, </w:t>
      </w:r>
      <w:proofErr w:type="spellStart"/>
      <w:r w:rsidRPr="00CF35BC">
        <w:rPr>
          <w:rFonts w:cs="Arial"/>
          <w:sz w:val="21"/>
          <w:szCs w:val="21"/>
        </w:rPr>
        <w:t>Basma</w:t>
      </w:r>
      <w:proofErr w:type="spellEnd"/>
      <w:r w:rsidRPr="00CF35BC">
        <w:rPr>
          <w:rFonts w:cs="Arial"/>
          <w:sz w:val="21"/>
          <w:szCs w:val="21"/>
        </w:rPr>
        <w:t xml:space="preserve">. </w:t>
      </w:r>
      <w:r w:rsidRPr="00CF35BC">
        <w:rPr>
          <w:rFonts w:cs="Arial"/>
          <w:i/>
          <w:sz w:val="21"/>
          <w:szCs w:val="21"/>
        </w:rPr>
        <w:t>Étude sur la définition et la mesure des qualités des archives définitives issues d’une évaluation</w:t>
      </w:r>
      <w:r w:rsidRPr="00CF35BC">
        <w:rPr>
          <w:rFonts w:cs="Arial"/>
          <w:sz w:val="21"/>
          <w:szCs w:val="21"/>
        </w:rPr>
        <w:t>. École de bibliothéconomie et des sciences de l’information, Université de Montréal, 2010.</w:t>
      </w:r>
    </w:p>
    <w:p w14:paraId="53846D76" w14:textId="77777777" w:rsidR="003601A8" w:rsidRPr="00CF35BC" w:rsidRDefault="00000000" w:rsidP="003601A8">
      <w:pPr>
        <w:contextualSpacing/>
        <w:jc w:val="both"/>
        <w:rPr>
          <w:rFonts w:cs="Arial"/>
          <w:sz w:val="21"/>
          <w:szCs w:val="21"/>
        </w:rPr>
      </w:pPr>
      <w:hyperlink r:id="rId13" w:history="1">
        <w:r w:rsidR="003601A8" w:rsidRPr="00CF35BC">
          <w:rPr>
            <w:rFonts w:cs="Arial"/>
            <w:color w:val="0000FF" w:themeColor="hyperlink"/>
            <w:sz w:val="21"/>
            <w:szCs w:val="21"/>
            <w:u w:val="single"/>
          </w:rPr>
          <w:t>https://papyrus.bib.umontreal.ca/xmlui/bitstream/handle/1866/4955/Makhouf-Shabou_Basma_2011_these.pdf?sequence=5&amp;isAllowed=y</w:t>
        </w:r>
      </w:hyperlink>
      <w:r w:rsidR="003601A8" w:rsidRPr="00CF35BC">
        <w:rPr>
          <w:rFonts w:cs="Arial"/>
          <w:color w:val="0000FF" w:themeColor="hyperlink"/>
          <w:sz w:val="21"/>
          <w:szCs w:val="21"/>
          <w:u w:val="single"/>
        </w:rPr>
        <w:t xml:space="preserve"> </w:t>
      </w:r>
      <w:r w:rsidR="003601A8" w:rsidRPr="00CF35BC">
        <w:rPr>
          <w:rFonts w:cs="Arial"/>
          <w:sz w:val="21"/>
          <w:szCs w:val="21"/>
        </w:rPr>
        <w:t>(page consultée le 6 décembre 2017).</w:t>
      </w:r>
    </w:p>
    <w:p w14:paraId="1A683531" w14:textId="77777777" w:rsidR="003601A8" w:rsidRPr="00CF35BC" w:rsidRDefault="003601A8" w:rsidP="003601A8">
      <w:pPr>
        <w:contextualSpacing/>
        <w:jc w:val="both"/>
        <w:rPr>
          <w:rFonts w:cs="Arial"/>
          <w:sz w:val="21"/>
          <w:szCs w:val="21"/>
        </w:rPr>
      </w:pPr>
    </w:p>
    <w:p w14:paraId="2ACD4CCD" w14:textId="77777777" w:rsidR="003601A8" w:rsidRPr="00CF35BC" w:rsidRDefault="003601A8" w:rsidP="003601A8">
      <w:pPr>
        <w:autoSpaceDE w:val="0"/>
        <w:autoSpaceDN w:val="0"/>
        <w:adjustRightInd w:val="0"/>
        <w:rPr>
          <w:rFonts w:cs="Arial"/>
          <w:sz w:val="21"/>
          <w:szCs w:val="21"/>
        </w:rPr>
      </w:pPr>
      <w:r w:rsidRPr="00CF35BC">
        <w:rPr>
          <w:rFonts w:cs="Arial"/>
          <w:sz w:val="21"/>
          <w:szCs w:val="21"/>
          <w:lang w:val="en-CA"/>
        </w:rPr>
        <w:t xml:space="preserve">MENNE-HARITZ, A. Appraisal or Selection. Can Content Oriented Appraisal be Harmonised with the Principle of Provenance? </w:t>
      </w:r>
      <w:r w:rsidRPr="00CF35BC">
        <w:rPr>
          <w:rFonts w:cs="Arial"/>
          <w:i/>
          <w:iCs/>
          <w:sz w:val="21"/>
          <w:szCs w:val="21"/>
          <w:lang w:val="en-CA"/>
        </w:rPr>
        <w:t xml:space="preserve">The Principle of </w:t>
      </w:r>
      <w:proofErr w:type="gramStart"/>
      <w:r w:rsidRPr="00CF35BC">
        <w:rPr>
          <w:rFonts w:cs="Arial"/>
          <w:i/>
          <w:iCs/>
          <w:sz w:val="21"/>
          <w:szCs w:val="21"/>
          <w:lang w:val="en-CA"/>
        </w:rPr>
        <w:t>Provenance :</w:t>
      </w:r>
      <w:proofErr w:type="gramEnd"/>
      <w:r w:rsidRPr="00CF35BC">
        <w:rPr>
          <w:rFonts w:cs="Arial"/>
          <w:i/>
          <w:iCs/>
          <w:sz w:val="21"/>
          <w:szCs w:val="21"/>
          <w:lang w:val="en-CA"/>
        </w:rPr>
        <w:t xml:space="preserve"> Report from the First Stockholm Conference on Archival Theory and the Principle of Provenance, 2-3 September 1993 </w:t>
      </w:r>
      <w:r w:rsidRPr="00CF35BC">
        <w:rPr>
          <w:rFonts w:cs="Arial"/>
          <w:sz w:val="21"/>
          <w:szCs w:val="21"/>
          <w:lang w:val="en-CA"/>
        </w:rPr>
        <w:t xml:space="preserve">(pp. 103-131). </w:t>
      </w:r>
      <w:r w:rsidRPr="00CF35BC">
        <w:rPr>
          <w:rFonts w:cs="Arial"/>
          <w:sz w:val="21"/>
          <w:szCs w:val="21"/>
        </w:rPr>
        <w:t xml:space="preserve">Stockholm: </w:t>
      </w:r>
      <w:proofErr w:type="spellStart"/>
      <w:r w:rsidRPr="00CF35BC">
        <w:rPr>
          <w:rFonts w:cs="Arial"/>
          <w:sz w:val="21"/>
          <w:szCs w:val="21"/>
        </w:rPr>
        <w:t>Swedish</w:t>
      </w:r>
      <w:proofErr w:type="spellEnd"/>
      <w:r w:rsidRPr="00CF35BC">
        <w:rPr>
          <w:rFonts w:cs="Arial"/>
          <w:sz w:val="21"/>
          <w:szCs w:val="21"/>
        </w:rPr>
        <w:t xml:space="preserve"> National Archives, 1994.</w:t>
      </w:r>
    </w:p>
    <w:p w14:paraId="21083090" w14:textId="77777777" w:rsidR="003601A8" w:rsidRPr="00CF35BC" w:rsidRDefault="003601A8" w:rsidP="003601A8">
      <w:pPr>
        <w:contextualSpacing/>
        <w:jc w:val="both"/>
        <w:rPr>
          <w:rFonts w:cs="Arial"/>
          <w:sz w:val="21"/>
          <w:szCs w:val="21"/>
        </w:rPr>
      </w:pPr>
    </w:p>
    <w:p w14:paraId="523BC0DB" w14:textId="77777777" w:rsidR="003601A8" w:rsidRPr="00CF35BC" w:rsidRDefault="003601A8" w:rsidP="003601A8">
      <w:pPr>
        <w:contextualSpacing/>
        <w:rPr>
          <w:rFonts w:cs="Arial"/>
          <w:sz w:val="21"/>
          <w:szCs w:val="21"/>
        </w:rPr>
      </w:pPr>
      <w:r w:rsidRPr="00CF35BC">
        <w:rPr>
          <w:rFonts w:cs="Arial"/>
          <w:sz w:val="21"/>
          <w:szCs w:val="21"/>
        </w:rPr>
        <w:t xml:space="preserve">Ministère de la Culture et des Communications. Partout, la culture : Politique québécoise de la culture.  </w:t>
      </w:r>
      <w:hyperlink r:id="rId14" w:history="1">
        <w:r w:rsidRPr="00CF35BC">
          <w:rPr>
            <w:rFonts w:cs="Arial"/>
            <w:color w:val="0000FF" w:themeColor="hyperlink"/>
            <w:sz w:val="21"/>
            <w:szCs w:val="21"/>
            <w:u w:val="single"/>
          </w:rPr>
          <w:t>https://mcc.gouv.qc.ca/fileadmin/documents/Politique_culturelle/Partoutlaculture_Polculturelle_Web.pdf</w:t>
        </w:r>
      </w:hyperlink>
      <w:r w:rsidRPr="00CF35BC">
        <w:rPr>
          <w:rFonts w:cs="Arial"/>
          <w:sz w:val="21"/>
          <w:szCs w:val="21"/>
        </w:rPr>
        <w:t xml:space="preserve">  (document consulté le 10 septembre 2018).</w:t>
      </w:r>
    </w:p>
    <w:p w14:paraId="59626268" w14:textId="77777777" w:rsidR="003601A8" w:rsidRPr="00CF35BC" w:rsidRDefault="003601A8" w:rsidP="003601A8">
      <w:pPr>
        <w:autoSpaceDE w:val="0"/>
        <w:autoSpaceDN w:val="0"/>
        <w:adjustRightInd w:val="0"/>
        <w:rPr>
          <w:rFonts w:cs="Arial"/>
          <w:sz w:val="21"/>
          <w:szCs w:val="21"/>
        </w:rPr>
      </w:pPr>
      <w:r w:rsidRPr="00CF35BC">
        <w:rPr>
          <w:rFonts w:cs="Arial"/>
          <w:sz w:val="21"/>
          <w:szCs w:val="21"/>
        </w:rPr>
        <w:lastRenderedPageBreak/>
        <w:t xml:space="preserve">Organisation internationale de normalisation. </w:t>
      </w:r>
      <w:r w:rsidRPr="00CF35BC">
        <w:rPr>
          <w:rFonts w:cs="Arial"/>
          <w:i/>
          <w:iCs/>
          <w:sz w:val="21"/>
          <w:szCs w:val="21"/>
        </w:rPr>
        <w:t xml:space="preserve">Norme internationale ISO/TR 15489–1. Information et documentation ‘Records management’. Partie (1) : Principes directeurs. </w:t>
      </w:r>
      <w:r w:rsidRPr="00CF35BC">
        <w:rPr>
          <w:rFonts w:cs="Arial"/>
          <w:sz w:val="21"/>
          <w:szCs w:val="21"/>
        </w:rPr>
        <w:t xml:space="preserve">International </w:t>
      </w:r>
      <w:proofErr w:type="spellStart"/>
      <w:r w:rsidRPr="00CF35BC">
        <w:rPr>
          <w:rFonts w:cs="Arial"/>
          <w:sz w:val="21"/>
          <w:szCs w:val="21"/>
        </w:rPr>
        <w:t>Organization</w:t>
      </w:r>
      <w:proofErr w:type="spellEnd"/>
      <w:r w:rsidRPr="00CF35BC">
        <w:rPr>
          <w:rFonts w:cs="Arial"/>
          <w:sz w:val="21"/>
          <w:szCs w:val="21"/>
        </w:rPr>
        <w:t xml:space="preserve"> for </w:t>
      </w:r>
      <w:proofErr w:type="spellStart"/>
      <w:r w:rsidRPr="00CF35BC">
        <w:rPr>
          <w:rFonts w:cs="Arial"/>
          <w:sz w:val="21"/>
          <w:szCs w:val="21"/>
        </w:rPr>
        <w:t>Standardization</w:t>
      </w:r>
      <w:proofErr w:type="spellEnd"/>
      <w:r w:rsidRPr="00CF35BC">
        <w:rPr>
          <w:rFonts w:cs="Arial"/>
          <w:sz w:val="21"/>
          <w:szCs w:val="21"/>
        </w:rPr>
        <w:t xml:space="preserve"> (ISO), 2001a.</w:t>
      </w:r>
    </w:p>
    <w:p w14:paraId="2E66093F" w14:textId="77777777" w:rsidR="003601A8" w:rsidRPr="00CF35BC" w:rsidRDefault="003601A8" w:rsidP="003601A8">
      <w:pPr>
        <w:contextualSpacing/>
        <w:jc w:val="both"/>
        <w:rPr>
          <w:rFonts w:cs="Arial"/>
          <w:sz w:val="21"/>
          <w:szCs w:val="21"/>
        </w:rPr>
      </w:pPr>
    </w:p>
    <w:p w14:paraId="1B7D8B15" w14:textId="77777777" w:rsidR="003601A8" w:rsidRPr="00CF35BC" w:rsidRDefault="003601A8" w:rsidP="003601A8">
      <w:pPr>
        <w:autoSpaceDE w:val="0"/>
        <w:autoSpaceDN w:val="0"/>
        <w:adjustRightInd w:val="0"/>
        <w:rPr>
          <w:rFonts w:cs="Arial"/>
          <w:sz w:val="21"/>
          <w:szCs w:val="21"/>
          <w:lang w:val="en-CA"/>
        </w:rPr>
      </w:pPr>
      <w:r w:rsidRPr="00CF35BC">
        <w:rPr>
          <w:rFonts w:cs="Arial"/>
          <w:sz w:val="21"/>
          <w:szCs w:val="21"/>
          <w:lang w:val="en-CA"/>
        </w:rPr>
        <w:t xml:space="preserve">SAMUELS, H. W. </w:t>
      </w:r>
      <w:r w:rsidRPr="00CF35BC">
        <w:rPr>
          <w:rFonts w:cs="Arial"/>
          <w:i/>
          <w:iCs/>
          <w:sz w:val="21"/>
          <w:szCs w:val="21"/>
          <w:lang w:val="en-CA"/>
        </w:rPr>
        <w:t xml:space="preserve">Varsity </w:t>
      </w:r>
      <w:proofErr w:type="gramStart"/>
      <w:r w:rsidRPr="00CF35BC">
        <w:rPr>
          <w:rFonts w:cs="Arial"/>
          <w:i/>
          <w:iCs/>
          <w:sz w:val="21"/>
          <w:szCs w:val="21"/>
          <w:lang w:val="en-CA"/>
        </w:rPr>
        <w:t>Letters :</w:t>
      </w:r>
      <w:proofErr w:type="gramEnd"/>
      <w:r w:rsidRPr="00CF35BC">
        <w:rPr>
          <w:rFonts w:cs="Arial"/>
          <w:i/>
          <w:iCs/>
          <w:sz w:val="21"/>
          <w:szCs w:val="21"/>
          <w:lang w:val="en-CA"/>
        </w:rPr>
        <w:t xml:space="preserve"> Documenting Modern Colleges and Universities</w:t>
      </w:r>
      <w:r w:rsidRPr="00CF35BC">
        <w:rPr>
          <w:rFonts w:cs="Arial"/>
          <w:sz w:val="21"/>
          <w:szCs w:val="21"/>
          <w:lang w:val="en-CA"/>
        </w:rPr>
        <w:t xml:space="preserve">. Chicago, Ill. Metuchen, </w:t>
      </w:r>
      <w:proofErr w:type="gramStart"/>
      <w:r w:rsidRPr="00CF35BC">
        <w:rPr>
          <w:rFonts w:cs="Arial"/>
          <w:sz w:val="21"/>
          <w:szCs w:val="21"/>
          <w:lang w:val="en-CA"/>
        </w:rPr>
        <w:t>N.J :</w:t>
      </w:r>
      <w:proofErr w:type="gramEnd"/>
      <w:r w:rsidRPr="00CF35BC">
        <w:rPr>
          <w:rFonts w:cs="Arial"/>
          <w:sz w:val="21"/>
          <w:szCs w:val="21"/>
          <w:lang w:val="en-CA"/>
        </w:rPr>
        <w:t xml:space="preserve"> Society of American Archivists ; Scarecrow Press, 1992.</w:t>
      </w:r>
    </w:p>
    <w:p w14:paraId="3A4D6C43" w14:textId="77777777" w:rsidR="003601A8" w:rsidRPr="00CF35BC" w:rsidRDefault="003601A8" w:rsidP="003601A8">
      <w:pPr>
        <w:autoSpaceDE w:val="0"/>
        <w:autoSpaceDN w:val="0"/>
        <w:adjustRightInd w:val="0"/>
        <w:rPr>
          <w:rFonts w:cs="Arial"/>
          <w:sz w:val="21"/>
          <w:szCs w:val="21"/>
          <w:lang w:val="en-CA"/>
        </w:rPr>
      </w:pPr>
    </w:p>
    <w:p w14:paraId="473F12B1" w14:textId="77777777" w:rsidR="003601A8" w:rsidRPr="00CF35BC" w:rsidRDefault="003601A8" w:rsidP="003601A8">
      <w:pPr>
        <w:autoSpaceDE w:val="0"/>
        <w:autoSpaceDN w:val="0"/>
        <w:adjustRightInd w:val="0"/>
        <w:rPr>
          <w:rFonts w:cs="Arial"/>
          <w:sz w:val="21"/>
          <w:szCs w:val="21"/>
          <w:lang w:val="en-CA"/>
        </w:rPr>
      </w:pPr>
      <w:r w:rsidRPr="00CF35BC">
        <w:rPr>
          <w:rFonts w:cs="Arial"/>
          <w:sz w:val="21"/>
          <w:szCs w:val="21"/>
          <w:lang w:val="en-CA"/>
        </w:rPr>
        <w:t xml:space="preserve">SCHELLENBERG, T. </w:t>
      </w:r>
      <w:proofErr w:type="gramStart"/>
      <w:r w:rsidRPr="00CF35BC">
        <w:rPr>
          <w:rFonts w:cs="Arial"/>
          <w:sz w:val="21"/>
          <w:szCs w:val="21"/>
          <w:lang w:val="en-CA"/>
        </w:rPr>
        <w:t>R..</w:t>
      </w:r>
      <w:proofErr w:type="gramEnd"/>
      <w:r w:rsidRPr="00CF35BC">
        <w:rPr>
          <w:rFonts w:cs="Arial"/>
          <w:sz w:val="21"/>
          <w:szCs w:val="21"/>
          <w:lang w:val="en-CA"/>
        </w:rPr>
        <w:t xml:space="preserve"> </w:t>
      </w:r>
      <w:r w:rsidRPr="00CF35BC">
        <w:rPr>
          <w:rFonts w:cs="Arial"/>
          <w:i/>
          <w:iCs/>
          <w:sz w:val="21"/>
          <w:szCs w:val="21"/>
          <w:lang w:val="en-CA"/>
        </w:rPr>
        <w:t>The Management of Archives</w:t>
      </w:r>
      <w:r w:rsidRPr="00CF35BC">
        <w:rPr>
          <w:rFonts w:cs="Arial"/>
          <w:sz w:val="21"/>
          <w:szCs w:val="21"/>
          <w:lang w:val="en-CA"/>
        </w:rPr>
        <w:t xml:space="preserve">. New </w:t>
      </w:r>
      <w:proofErr w:type="gramStart"/>
      <w:r w:rsidRPr="00CF35BC">
        <w:rPr>
          <w:rFonts w:cs="Arial"/>
          <w:sz w:val="21"/>
          <w:szCs w:val="21"/>
          <w:lang w:val="en-CA"/>
        </w:rPr>
        <w:t>York :</w:t>
      </w:r>
      <w:proofErr w:type="gramEnd"/>
      <w:r w:rsidRPr="00CF35BC">
        <w:rPr>
          <w:rFonts w:cs="Arial"/>
          <w:sz w:val="21"/>
          <w:szCs w:val="21"/>
          <w:lang w:val="en-CA"/>
        </w:rPr>
        <w:t xml:space="preserve"> Columbia University Press, 1965.</w:t>
      </w:r>
    </w:p>
    <w:p w14:paraId="59BCEDA9" w14:textId="77777777" w:rsidR="003601A8" w:rsidRPr="00CF35BC" w:rsidRDefault="003601A8" w:rsidP="003601A8">
      <w:pPr>
        <w:contextualSpacing/>
        <w:jc w:val="both"/>
        <w:rPr>
          <w:rFonts w:cs="Arial"/>
          <w:sz w:val="21"/>
          <w:szCs w:val="21"/>
          <w:lang w:val="en-CA"/>
        </w:rPr>
      </w:pPr>
    </w:p>
    <w:p w14:paraId="3FF652AC" w14:textId="77777777" w:rsidR="003601A8" w:rsidRPr="00CF35BC" w:rsidRDefault="003601A8" w:rsidP="003601A8">
      <w:pPr>
        <w:autoSpaceDE w:val="0"/>
        <w:autoSpaceDN w:val="0"/>
        <w:adjustRightInd w:val="0"/>
        <w:rPr>
          <w:rFonts w:cs="Arial"/>
          <w:sz w:val="21"/>
          <w:szCs w:val="21"/>
          <w:lang w:val="en-CA"/>
        </w:rPr>
      </w:pPr>
      <w:r w:rsidRPr="00CF35BC">
        <w:rPr>
          <w:rFonts w:cs="Arial"/>
          <w:sz w:val="21"/>
          <w:szCs w:val="21"/>
        </w:rPr>
        <w:t xml:space="preserve">SENÉCAL, Sylvain. Analyse critique du concept de fonds d'archives. </w:t>
      </w:r>
      <w:r w:rsidRPr="00CF35BC">
        <w:rPr>
          <w:rFonts w:cs="Arial"/>
          <w:i/>
          <w:iCs/>
          <w:sz w:val="21"/>
          <w:szCs w:val="21"/>
        </w:rPr>
        <w:t xml:space="preserve">Archives, 22 </w:t>
      </w:r>
      <w:r w:rsidRPr="00CF35BC">
        <w:rPr>
          <w:rFonts w:cs="Arial"/>
          <w:sz w:val="21"/>
          <w:szCs w:val="21"/>
        </w:rPr>
        <w:t>(Hiver 1991), 41-52.</w:t>
      </w:r>
    </w:p>
    <w:p w14:paraId="67CE6800" w14:textId="77777777" w:rsidR="00962F7F" w:rsidRPr="00CF35BC" w:rsidRDefault="00962F7F" w:rsidP="00DD1D92">
      <w:pPr>
        <w:ind w:left="360"/>
        <w:contextualSpacing/>
        <w:jc w:val="both"/>
        <w:rPr>
          <w:rFonts w:cs="Arial"/>
          <w:b/>
          <w:sz w:val="21"/>
          <w:szCs w:val="21"/>
        </w:rPr>
      </w:pPr>
    </w:p>
    <w:sectPr w:rsidR="00962F7F" w:rsidRPr="00CF35BC" w:rsidSect="00E5104A">
      <w:headerReference w:type="default" r:id="rId15"/>
      <w:footerReference w:type="default" r:id="rId16"/>
      <w:pgSz w:w="12240" w:h="15840"/>
      <w:pgMar w:top="135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1517" w14:textId="77777777" w:rsidR="00967E64" w:rsidRDefault="00967E64" w:rsidP="00B010EA">
      <w:r>
        <w:separator/>
      </w:r>
    </w:p>
  </w:endnote>
  <w:endnote w:type="continuationSeparator" w:id="0">
    <w:p w14:paraId="2CDAAA3E" w14:textId="77777777" w:rsidR="00967E64" w:rsidRDefault="00967E64" w:rsidP="00B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08811232"/>
      <w:docPartObj>
        <w:docPartGallery w:val="Page Numbers (Bottom of Page)"/>
        <w:docPartUnique/>
      </w:docPartObj>
    </w:sdtPr>
    <w:sdtContent>
      <w:p w14:paraId="29A024AE" w14:textId="77777777" w:rsidR="005D4F0A" w:rsidRPr="00CF35BC" w:rsidRDefault="005D4F0A" w:rsidP="00DA666D">
        <w:pPr>
          <w:pStyle w:val="Pieddepage"/>
          <w:rPr>
            <w:sz w:val="18"/>
            <w:szCs w:val="18"/>
          </w:rPr>
        </w:pPr>
        <w:r w:rsidRPr="00CF35BC">
          <w:rPr>
            <w:sz w:val="18"/>
            <w:szCs w:val="18"/>
          </w:rPr>
          <w:t>Bibliothèque et Archives nationales du Québec</w:t>
        </w:r>
        <w:r w:rsidRPr="00CF35BC">
          <w:rPr>
            <w:sz w:val="18"/>
            <w:szCs w:val="18"/>
          </w:rPr>
          <w:tab/>
          <w:t xml:space="preserve"> </w:t>
        </w:r>
        <w:r w:rsidRPr="00CF35BC">
          <w:rPr>
            <w:sz w:val="18"/>
            <w:szCs w:val="18"/>
          </w:rPr>
          <w:tab/>
        </w:r>
        <w:r w:rsidRPr="00CF35BC">
          <w:rPr>
            <w:sz w:val="18"/>
            <w:szCs w:val="18"/>
          </w:rPr>
          <w:fldChar w:fldCharType="begin"/>
        </w:r>
        <w:r w:rsidRPr="00CF35BC">
          <w:rPr>
            <w:sz w:val="18"/>
            <w:szCs w:val="18"/>
          </w:rPr>
          <w:instrText>PAGE   \* MERGEFORMAT</w:instrText>
        </w:r>
        <w:r w:rsidRPr="00CF35BC">
          <w:rPr>
            <w:sz w:val="18"/>
            <w:szCs w:val="18"/>
          </w:rPr>
          <w:fldChar w:fldCharType="separate"/>
        </w:r>
        <w:r w:rsidR="00973BB4" w:rsidRPr="00973BB4">
          <w:rPr>
            <w:noProof/>
            <w:sz w:val="18"/>
            <w:szCs w:val="18"/>
            <w:lang w:val="fr-FR"/>
          </w:rPr>
          <w:t>2</w:t>
        </w:r>
        <w:r w:rsidRPr="00CF35BC">
          <w:rPr>
            <w:sz w:val="18"/>
            <w:szCs w:val="18"/>
          </w:rPr>
          <w:fldChar w:fldCharType="end"/>
        </w:r>
      </w:p>
    </w:sdtContent>
  </w:sdt>
  <w:p w14:paraId="7FABF894" w14:textId="77777777" w:rsidR="005D4F0A" w:rsidRDefault="005D4F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72BB" w14:textId="77777777" w:rsidR="00967E64" w:rsidRDefault="00967E64" w:rsidP="00B010EA">
      <w:r>
        <w:separator/>
      </w:r>
    </w:p>
  </w:footnote>
  <w:footnote w:type="continuationSeparator" w:id="0">
    <w:p w14:paraId="162C3021" w14:textId="77777777" w:rsidR="00967E64" w:rsidRDefault="00967E64" w:rsidP="00B010EA">
      <w:r>
        <w:continuationSeparator/>
      </w:r>
    </w:p>
  </w:footnote>
  <w:footnote w:id="1">
    <w:p w14:paraId="725D41D0" w14:textId="77777777" w:rsidR="00FD3ED2" w:rsidRPr="00FD3ED2" w:rsidRDefault="008E56C5">
      <w:pPr>
        <w:pStyle w:val="Notedebasdepage"/>
        <w:rPr>
          <w:sz w:val="18"/>
          <w:szCs w:val="18"/>
        </w:rPr>
      </w:pPr>
      <w:r w:rsidRPr="00FD3ED2">
        <w:rPr>
          <w:rStyle w:val="Appelnotedebasdep"/>
          <w:sz w:val="18"/>
          <w:szCs w:val="18"/>
        </w:rPr>
        <w:footnoteRef/>
      </w:r>
      <w:r w:rsidRPr="00FD3ED2">
        <w:rPr>
          <w:sz w:val="18"/>
          <w:szCs w:val="18"/>
        </w:rPr>
        <w:t xml:space="preserve"> </w:t>
      </w:r>
      <w:r w:rsidRPr="00FD3ED2">
        <w:rPr>
          <w:i/>
          <w:sz w:val="18"/>
          <w:szCs w:val="18"/>
        </w:rPr>
        <w:t>Les fonctions de l’archivist</w:t>
      </w:r>
      <w:r w:rsidR="009E4C8F">
        <w:rPr>
          <w:i/>
          <w:sz w:val="18"/>
          <w:szCs w:val="18"/>
        </w:rPr>
        <w:t>ique</w:t>
      </w:r>
      <w:r w:rsidRPr="00FD3ED2">
        <w:rPr>
          <w:i/>
          <w:sz w:val="18"/>
          <w:szCs w:val="18"/>
        </w:rPr>
        <w:t xml:space="preserve"> contemporaine</w:t>
      </w:r>
      <w:r w:rsidRPr="00FD3ED2">
        <w:rPr>
          <w:sz w:val="18"/>
          <w:szCs w:val="18"/>
        </w:rPr>
        <w:t xml:space="preserve">, Carol Couture et coll., </w:t>
      </w:r>
      <w:r w:rsidR="00FD3ED2" w:rsidRPr="00FD3ED2">
        <w:rPr>
          <w:sz w:val="18"/>
          <w:szCs w:val="18"/>
        </w:rPr>
        <w:t>Presses d</w:t>
      </w:r>
      <w:r w:rsidR="005951AE">
        <w:rPr>
          <w:sz w:val="18"/>
          <w:szCs w:val="18"/>
        </w:rPr>
        <w:t xml:space="preserve">e l’Université du Québec, 2005, </w:t>
      </w:r>
      <w:r w:rsidR="00FD3ED2" w:rsidRPr="00FD3ED2">
        <w:rPr>
          <w:sz w:val="18"/>
          <w:szCs w:val="18"/>
        </w:rPr>
        <w:t>p. 104.</w:t>
      </w:r>
    </w:p>
  </w:footnote>
  <w:footnote w:id="2">
    <w:p w14:paraId="7EB2B894" w14:textId="77777777" w:rsidR="00744D19" w:rsidRPr="006C67B2" w:rsidRDefault="00744D19" w:rsidP="00DE420B">
      <w:pPr>
        <w:pStyle w:val="Notedebasdepage"/>
        <w:jc w:val="both"/>
        <w:rPr>
          <w:sz w:val="18"/>
          <w:szCs w:val="18"/>
        </w:rPr>
      </w:pPr>
      <w:r w:rsidRPr="006C67B2">
        <w:rPr>
          <w:rStyle w:val="Appelnotedebasdep"/>
          <w:sz w:val="18"/>
          <w:szCs w:val="18"/>
        </w:rPr>
        <w:footnoteRef/>
      </w:r>
      <w:r w:rsidRPr="006C67B2">
        <w:rPr>
          <w:sz w:val="18"/>
          <w:szCs w:val="18"/>
        </w:rPr>
        <w:t xml:space="preserve"> </w:t>
      </w:r>
      <w:hyperlink r:id="rId1" w:tooltip="Normes et procédures archivistiques – Chapitre sur le tri d'archives." w:history="1">
        <w:r w:rsidRPr="006C67B2">
          <w:rPr>
            <w:rStyle w:val="Lienhypertexte"/>
            <w:bCs/>
            <w:i/>
            <w:iCs/>
            <w:color w:val="auto"/>
            <w:sz w:val="18"/>
            <w:szCs w:val="18"/>
          </w:rPr>
          <w:t>Normes et procédures archivistiques – Chapitre sur le tri d'archives</w:t>
        </w:r>
      </w:hyperlink>
      <w:r w:rsidRPr="006C67B2">
        <w:rPr>
          <w:bCs/>
          <w:i/>
          <w:iCs/>
          <w:sz w:val="18"/>
          <w:szCs w:val="18"/>
        </w:rPr>
        <w:t>,</w:t>
      </w:r>
      <w:r w:rsidRPr="006C67B2">
        <w:rPr>
          <w:b/>
          <w:bCs/>
          <w:i/>
          <w:iCs/>
          <w:sz w:val="18"/>
          <w:szCs w:val="18"/>
        </w:rPr>
        <w:t xml:space="preserve"> </w:t>
      </w:r>
      <w:r w:rsidRPr="006C67B2">
        <w:rPr>
          <w:sz w:val="18"/>
          <w:szCs w:val="18"/>
        </w:rPr>
        <w:t>[Word - 335</w:t>
      </w:r>
      <w:r w:rsidR="00DE420B">
        <w:rPr>
          <w:sz w:val="18"/>
          <w:szCs w:val="18"/>
        </w:rPr>
        <w:t xml:space="preserve"> </w:t>
      </w:r>
      <w:r w:rsidRPr="006C67B2">
        <w:rPr>
          <w:sz w:val="18"/>
          <w:szCs w:val="18"/>
        </w:rPr>
        <w:t>Ko] Marthe Bégin, Hélène Cadieux, Martin Lavoie, Jean-Luc Milette, Johanne Mont-Redon. 2005, 24 p.</w:t>
      </w:r>
    </w:p>
    <w:p w14:paraId="295FF4E3" w14:textId="77777777" w:rsidR="00124CF8" w:rsidRPr="006C67B2" w:rsidRDefault="00124CF8" w:rsidP="00744D19">
      <w:pPr>
        <w:pStyle w:val="Notedebasdepage"/>
        <w:rPr>
          <w:sz w:val="18"/>
          <w:szCs w:val="18"/>
        </w:rPr>
      </w:pPr>
    </w:p>
  </w:footnote>
  <w:footnote w:id="3">
    <w:p w14:paraId="61426A53" w14:textId="77777777" w:rsidR="00EE391D" w:rsidRPr="00EE391D" w:rsidRDefault="00B010EA" w:rsidP="00973BB4">
      <w:pPr>
        <w:pStyle w:val="Notedebasdepage"/>
        <w:rPr>
          <w:rFonts w:cs="Arial"/>
          <w:sz w:val="18"/>
          <w:szCs w:val="18"/>
        </w:rPr>
      </w:pPr>
      <w:r w:rsidRPr="00A96EDE">
        <w:rPr>
          <w:rStyle w:val="Appelnotedebasdep"/>
          <w:rFonts w:cs="Arial"/>
          <w:sz w:val="18"/>
          <w:szCs w:val="18"/>
        </w:rPr>
        <w:footnoteRef/>
      </w:r>
      <w:r w:rsidRPr="00A96EDE">
        <w:rPr>
          <w:rFonts w:cs="Arial"/>
          <w:sz w:val="18"/>
          <w:szCs w:val="18"/>
        </w:rPr>
        <w:t xml:space="preserve"> </w:t>
      </w:r>
      <w:r w:rsidR="00EE391D" w:rsidRPr="00EE391D">
        <w:rPr>
          <w:rFonts w:cs="Arial"/>
          <w:sz w:val="18"/>
          <w:szCs w:val="18"/>
        </w:rPr>
        <w:t xml:space="preserve">Celui-ci s’inspire notamment des travaux de Basma Makhlouf Shabou publiés dans sa thèse </w:t>
      </w:r>
      <w:r w:rsidR="00EE391D" w:rsidRPr="00EE391D">
        <w:rPr>
          <w:rFonts w:cs="Arial"/>
          <w:i/>
          <w:sz w:val="18"/>
          <w:szCs w:val="18"/>
        </w:rPr>
        <w:t xml:space="preserve">Étude sur la définition et la mesure des qualités des archives définitives issues d’une évaluation </w:t>
      </w:r>
      <w:r w:rsidR="00EE391D" w:rsidRPr="00EE391D">
        <w:rPr>
          <w:rFonts w:cs="Arial"/>
          <w:sz w:val="18"/>
          <w:szCs w:val="18"/>
        </w:rPr>
        <w:t>(EBSI, 2010)</w:t>
      </w:r>
      <w:r w:rsidR="00973BB4">
        <w:rPr>
          <w:rFonts w:cs="Arial"/>
          <w:sz w:val="18"/>
          <w:szCs w:val="18"/>
        </w:rPr>
        <w:t xml:space="preserve"> </w:t>
      </w:r>
      <w:r w:rsidR="00973BB4">
        <w:t xml:space="preserve">– </w:t>
      </w:r>
      <w:hyperlink r:id="rId2" w:history="1">
        <w:r w:rsidR="009D44C5" w:rsidRPr="009D44C5">
          <w:rPr>
            <w:rStyle w:val="Lienhypertexte"/>
            <w:rFonts w:cs="Arial"/>
            <w:sz w:val="16"/>
            <w:szCs w:val="16"/>
          </w:rPr>
          <w:t>https://papyrus.bib.umontreal.ca/xmlui/handle/1866/4955</w:t>
        </w:r>
      </w:hyperlink>
      <w:r w:rsidR="00973BB4">
        <w:rPr>
          <w:rStyle w:val="Lienhypertexte"/>
          <w:rFonts w:cs="Arial"/>
          <w:sz w:val="16"/>
          <w:szCs w:val="16"/>
        </w:rPr>
        <w:t xml:space="preserve"> </w:t>
      </w:r>
      <w:r w:rsidR="009D44C5">
        <w:rPr>
          <w:rFonts w:cs="Arial"/>
          <w:sz w:val="18"/>
          <w:szCs w:val="18"/>
        </w:rPr>
        <w:t>(</w:t>
      </w:r>
      <w:r w:rsidR="002B37CD" w:rsidRPr="00EE391D">
        <w:rPr>
          <w:rFonts w:cs="Arial"/>
          <w:sz w:val="18"/>
          <w:szCs w:val="18"/>
        </w:rPr>
        <w:t>page consultée le 6 décembre 2017).</w:t>
      </w:r>
      <w:r w:rsidR="00EE391D" w:rsidRPr="00EE391D">
        <w:rPr>
          <w:rFonts w:cs="Arial"/>
          <w:sz w:val="18"/>
          <w:szCs w:val="18"/>
        </w:rPr>
        <w:t xml:space="preserve"> Il est aussi le fruit de réflexions par les équipes de la Direction générale des Archives nationales de BAnQ. Les concepts et les critères définis par Basma Makhlouf Shabou ont été adaptés de manière à tenir compte des mandats et du contexte organisationnel de BAnQ</w:t>
      </w:r>
      <w:r w:rsidR="00F903D0">
        <w:rPr>
          <w:rFonts w:cs="Arial"/>
          <w:sz w:val="18"/>
          <w:szCs w:val="18"/>
        </w:rPr>
        <w:t>.</w:t>
      </w:r>
      <w:r w:rsidR="00AF0AED" w:rsidRPr="00AF0AED">
        <w:t xml:space="preserve"> </w:t>
      </w:r>
      <w:r w:rsidR="00AF0AED" w:rsidRPr="00AF0AED">
        <w:rPr>
          <w:rFonts w:cs="Arial"/>
          <w:sz w:val="18"/>
          <w:szCs w:val="18"/>
        </w:rPr>
        <w:t>Ils sont aussi sujets à évoluer dans le temps en accord avec, d’une part, les transformations du milieu et de la profession archivistique, et d’autre part, les orientations de BAnQ.</w:t>
      </w:r>
      <w:r w:rsidR="00F903D0">
        <w:rPr>
          <w:rFonts w:cs="Arial"/>
          <w:sz w:val="18"/>
          <w:szCs w:val="18"/>
        </w:rPr>
        <w:t xml:space="preserve"> </w:t>
      </w:r>
    </w:p>
    <w:p w14:paraId="4BF5E564" w14:textId="77777777" w:rsidR="00EE391D" w:rsidRPr="00A96EDE" w:rsidRDefault="00EE391D" w:rsidP="00EE391D">
      <w:pPr>
        <w:pStyle w:val="Notedebasdepage"/>
        <w:jc w:val="both"/>
        <w:rPr>
          <w:rFonts w:cs="Arial"/>
          <w:color w:val="0000FF"/>
          <w:sz w:val="18"/>
          <w:szCs w:val="18"/>
          <w:u w:val="single"/>
        </w:rPr>
      </w:pPr>
    </w:p>
    <w:p w14:paraId="336E151B" w14:textId="77777777" w:rsidR="00B010EA" w:rsidRPr="00A96EDE" w:rsidRDefault="00B010EA" w:rsidP="00A96EDE">
      <w:pPr>
        <w:pStyle w:val="Notedebasdepage"/>
        <w:rPr>
          <w:rFonts w:cs="Arial"/>
          <w:color w:val="0000FF"/>
          <w:sz w:val="18"/>
          <w:szCs w:val="18"/>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44EC" w14:textId="77777777" w:rsidR="005D4F0A" w:rsidRPr="005D4F0A" w:rsidRDefault="005D4F0A" w:rsidP="005D4F0A">
    <w:pPr>
      <w:pStyle w:val="En-tte"/>
      <w:ind w:left="-1080"/>
    </w:pPr>
    <w:r>
      <w:rPr>
        <w:rFonts w:cs="Arial"/>
        <w:noProof/>
        <w:lang w:eastAsia="fr-CA"/>
      </w:rPr>
      <w:drawing>
        <wp:inline distT="0" distB="0" distL="0" distR="0" wp14:anchorId="3A65E1D0" wp14:editId="7194BE81">
          <wp:extent cx="1721486" cy="819510"/>
          <wp:effectExtent l="0" t="0" r="0" b="0"/>
          <wp:docPr id="1" name="Image 1" descr="BANw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ANw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515" cy="8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47E4" w14:textId="77777777" w:rsidR="005D4F0A" w:rsidRDefault="005D4F0A" w:rsidP="005D4F0A">
    <w:pPr>
      <w:pStyle w:val="En-tte"/>
      <w:ind w:left="-1080"/>
      <w:rPr>
        <w:rFonts w:cs="Arial"/>
        <w:noProof/>
        <w:lang w:eastAsia="fr-CA"/>
      </w:rPr>
    </w:pPr>
  </w:p>
  <w:p w14:paraId="474DD776" w14:textId="77777777" w:rsidR="005D4F0A" w:rsidRDefault="005D4F0A" w:rsidP="005D4F0A">
    <w:pPr>
      <w:pStyle w:val="En-tte"/>
      <w:ind w:left="-1080"/>
      <w:rPr>
        <w:rFonts w:cs="Arial"/>
        <w:noProof/>
        <w:lang w:eastAsia="fr-CA"/>
      </w:rPr>
    </w:pPr>
  </w:p>
  <w:p w14:paraId="104F9759" w14:textId="77777777" w:rsidR="005D4F0A" w:rsidRDefault="005D4F0A" w:rsidP="005D4F0A">
    <w:pPr>
      <w:pStyle w:val="En-tte"/>
      <w:ind w:left="-1080"/>
      <w:rPr>
        <w:rFonts w:cs="Arial"/>
        <w:noProof/>
        <w:lang w:eastAsia="fr-CA"/>
      </w:rPr>
    </w:pPr>
  </w:p>
  <w:p w14:paraId="586DDDC3" w14:textId="77777777" w:rsidR="005D4F0A" w:rsidRPr="005D4F0A" w:rsidRDefault="005D4F0A" w:rsidP="005D4F0A">
    <w:pPr>
      <w:pStyle w:val="En-tte"/>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A50"/>
    <w:multiLevelType w:val="hybridMultilevel"/>
    <w:tmpl w:val="078254C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B213319"/>
    <w:multiLevelType w:val="hybridMultilevel"/>
    <w:tmpl w:val="B05062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3E0DCF"/>
    <w:multiLevelType w:val="hybridMultilevel"/>
    <w:tmpl w:val="DC2C3E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F485FD7"/>
    <w:multiLevelType w:val="hybridMultilevel"/>
    <w:tmpl w:val="1202281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D620D13"/>
    <w:multiLevelType w:val="multilevel"/>
    <w:tmpl w:val="0C0C001F"/>
    <w:lvl w:ilvl="0">
      <w:start w:val="1"/>
      <w:numFmt w:val="decimal"/>
      <w:lvlText w:val="%1."/>
      <w:lvlJc w:val="left"/>
      <w:pPr>
        <w:ind w:left="360" w:hanging="360"/>
      </w:pPr>
    </w:lvl>
    <w:lvl w:ilvl="1">
      <w:start w:val="1"/>
      <w:numFmt w:val="decimal"/>
      <w:lvlText w:val="%1.%2."/>
      <w:lvlJc w:val="left"/>
      <w:pPr>
        <w:ind w:left="124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E379C6"/>
    <w:multiLevelType w:val="hybridMultilevel"/>
    <w:tmpl w:val="FC52A3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C077BBB"/>
    <w:multiLevelType w:val="hybridMultilevel"/>
    <w:tmpl w:val="23D034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27C3CED"/>
    <w:multiLevelType w:val="hybridMultilevel"/>
    <w:tmpl w:val="0B2E32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6149281">
    <w:abstractNumId w:val="0"/>
  </w:num>
  <w:num w:numId="2" w16cid:durableId="970326773">
    <w:abstractNumId w:val="4"/>
  </w:num>
  <w:num w:numId="3" w16cid:durableId="1934704614">
    <w:abstractNumId w:val="6"/>
  </w:num>
  <w:num w:numId="4" w16cid:durableId="620306454">
    <w:abstractNumId w:val="5"/>
  </w:num>
  <w:num w:numId="5" w16cid:durableId="688721061">
    <w:abstractNumId w:val="7"/>
  </w:num>
  <w:num w:numId="6" w16cid:durableId="1833717530">
    <w:abstractNumId w:val="1"/>
  </w:num>
  <w:num w:numId="7" w16cid:durableId="1729641971">
    <w:abstractNumId w:val="2"/>
  </w:num>
  <w:num w:numId="8" w16cid:durableId="1580284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EA"/>
    <w:rsid w:val="0000607B"/>
    <w:rsid w:val="0007620C"/>
    <w:rsid w:val="000868C2"/>
    <w:rsid w:val="0009345B"/>
    <w:rsid w:val="000B5794"/>
    <w:rsid w:val="000E2443"/>
    <w:rsid w:val="000E3068"/>
    <w:rsid w:val="001122AB"/>
    <w:rsid w:val="00114E7A"/>
    <w:rsid w:val="00124CF8"/>
    <w:rsid w:val="00195A8F"/>
    <w:rsid w:val="002453B2"/>
    <w:rsid w:val="00256918"/>
    <w:rsid w:val="002631AE"/>
    <w:rsid w:val="002B1E31"/>
    <w:rsid w:val="002B37CD"/>
    <w:rsid w:val="002B591A"/>
    <w:rsid w:val="002C431C"/>
    <w:rsid w:val="002C5FA0"/>
    <w:rsid w:val="002D6B92"/>
    <w:rsid w:val="00304D70"/>
    <w:rsid w:val="00305218"/>
    <w:rsid w:val="00336F75"/>
    <w:rsid w:val="003473D3"/>
    <w:rsid w:val="00347C2D"/>
    <w:rsid w:val="00355CDB"/>
    <w:rsid w:val="003601A8"/>
    <w:rsid w:val="003C3195"/>
    <w:rsid w:val="00417CBC"/>
    <w:rsid w:val="00433839"/>
    <w:rsid w:val="00467CF2"/>
    <w:rsid w:val="004A17D6"/>
    <w:rsid w:val="004A4910"/>
    <w:rsid w:val="004D38DB"/>
    <w:rsid w:val="00513563"/>
    <w:rsid w:val="00524756"/>
    <w:rsid w:val="005544E3"/>
    <w:rsid w:val="00554EEA"/>
    <w:rsid w:val="005566FD"/>
    <w:rsid w:val="00563E16"/>
    <w:rsid w:val="00586890"/>
    <w:rsid w:val="005951AE"/>
    <w:rsid w:val="005A5B30"/>
    <w:rsid w:val="005B3D14"/>
    <w:rsid w:val="005D4F0A"/>
    <w:rsid w:val="005D5D74"/>
    <w:rsid w:val="005D6C65"/>
    <w:rsid w:val="006031CF"/>
    <w:rsid w:val="00646749"/>
    <w:rsid w:val="006613C9"/>
    <w:rsid w:val="00680A31"/>
    <w:rsid w:val="006A784A"/>
    <w:rsid w:val="006C201F"/>
    <w:rsid w:val="006C67B2"/>
    <w:rsid w:val="006E53E1"/>
    <w:rsid w:val="00720A8E"/>
    <w:rsid w:val="00744D19"/>
    <w:rsid w:val="00755071"/>
    <w:rsid w:val="00790227"/>
    <w:rsid w:val="0079441E"/>
    <w:rsid w:val="007B359F"/>
    <w:rsid w:val="007C2750"/>
    <w:rsid w:val="007D5303"/>
    <w:rsid w:val="0080540F"/>
    <w:rsid w:val="00810889"/>
    <w:rsid w:val="00820DDD"/>
    <w:rsid w:val="0083061A"/>
    <w:rsid w:val="00846D37"/>
    <w:rsid w:val="00866E22"/>
    <w:rsid w:val="00875A04"/>
    <w:rsid w:val="008A14EB"/>
    <w:rsid w:val="008A33B2"/>
    <w:rsid w:val="008A74E8"/>
    <w:rsid w:val="008C78A8"/>
    <w:rsid w:val="008E56C5"/>
    <w:rsid w:val="00910C29"/>
    <w:rsid w:val="00935DE6"/>
    <w:rsid w:val="00962F7F"/>
    <w:rsid w:val="00967E64"/>
    <w:rsid w:val="009710B0"/>
    <w:rsid w:val="00973BB4"/>
    <w:rsid w:val="00976B7E"/>
    <w:rsid w:val="009963F8"/>
    <w:rsid w:val="009A28E1"/>
    <w:rsid w:val="009A343F"/>
    <w:rsid w:val="009B1C25"/>
    <w:rsid w:val="009D44C5"/>
    <w:rsid w:val="009E4C8F"/>
    <w:rsid w:val="00A5692C"/>
    <w:rsid w:val="00A8005B"/>
    <w:rsid w:val="00A96EDE"/>
    <w:rsid w:val="00AB7195"/>
    <w:rsid w:val="00AE46B6"/>
    <w:rsid w:val="00AF0AED"/>
    <w:rsid w:val="00AF3514"/>
    <w:rsid w:val="00B010EA"/>
    <w:rsid w:val="00B15805"/>
    <w:rsid w:val="00B44D04"/>
    <w:rsid w:val="00B71A2E"/>
    <w:rsid w:val="00BA75D5"/>
    <w:rsid w:val="00BB7215"/>
    <w:rsid w:val="00BC55DF"/>
    <w:rsid w:val="00BE5CE3"/>
    <w:rsid w:val="00C17E39"/>
    <w:rsid w:val="00C304B9"/>
    <w:rsid w:val="00C5371F"/>
    <w:rsid w:val="00C90CA7"/>
    <w:rsid w:val="00C93A2A"/>
    <w:rsid w:val="00CA2E3C"/>
    <w:rsid w:val="00CB20C8"/>
    <w:rsid w:val="00CD5040"/>
    <w:rsid w:val="00CE7582"/>
    <w:rsid w:val="00CF35BC"/>
    <w:rsid w:val="00D236D8"/>
    <w:rsid w:val="00D32DAF"/>
    <w:rsid w:val="00D625BF"/>
    <w:rsid w:val="00DA666D"/>
    <w:rsid w:val="00DD1D92"/>
    <w:rsid w:val="00DD2C25"/>
    <w:rsid w:val="00DE3F95"/>
    <w:rsid w:val="00DE420B"/>
    <w:rsid w:val="00E02C8A"/>
    <w:rsid w:val="00E13F06"/>
    <w:rsid w:val="00E2293D"/>
    <w:rsid w:val="00E300AB"/>
    <w:rsid w:val="00E35A11"/>
    <w:rsid w:val="00E37FB8"/>
    <w:rsid w:val="00E452E4"/>
    <w:rsid w:val="00E5104A"/>
    <w:rsid w:val="00E66CDA"/>
    <w:rsid w:val="00E71740"/>
    <w:rsid w:val="00E91AF6"/>
    <w:rsid w:val="00E921C1"/>
    <w:rsid w:val="00EA2126"/>
    <w:rsid w:val="00EB2599"/>
    <w:rsid w:val="00EB2FE1"/>
    <w:rsid w:val="00EC63A8"/>
    <w:rsid w:val="00EE391D"/>
    <w:rsid w:val="00EF5CC1"/>
    <w:rsid w:val="00F32F3B"/>
    <w:rsid w:val="00F55D3B"/>
    <w:rsid w:val="00F903D0"/>
    <w:rsid w:val="00FD3ED2"/>
    <w:rsid w:val="00FD426D"/>
    <w:rsid w:val="00FE03B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3D28"/>
  <w15:docId w15:val="{912C816A-CF4B-45C1-B113-26BDD152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0EA"/>
    <w:pPr>
      <w:spacing w:after="0" w:line="240" w:lineRule="auto"/>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10EA"/>
    <w:rPr>
      <w:color w:val="0000FF"/>
      <w:u w:val="single"/>
    </w:rPr>
  </w:style>
  <w:style w:type="paragraph" w:styleId="Notedebasdepage">
    <w:name w:val="footnote text"/>
    <w:basedOn w:val="Normal"/>
    <w:link w:val="NotedebasdepageCar"/>
    <w:uiPriority w:val="99"/>
    <w:unhideWhenUsed/>
    <w:rsid w:val="00B010EA"/>
    <w:rPr>
      <w:sz w:val="20"/>
      <w:szCs w:val="20"/>
    </w:rPr>
  </w:style>
  <w:style w:type="character" w:customStyle="1" w:styleId="NotedebasdepageCar">
    <w:name w:val="Note de bas de page Car"/>
    <w:basedOn w:val="Policepardfaut"/>
    <w:link w:val="Notedebasdepage"/>
    <w:uiPriority w:val="99"/>
    <w:rsid w:val="00B010EA"/>
    <w:rPr>
      <w:rFonts w:ascii="Arial" w:hAnsi="Arial"/>
      <w:sz w:val="20"/>
      <w:szCs w:val="20"/>
    </w:rPr>
  </w:style>
  <w:style w:type="character" w:styleId="Appelnotedebasdep">
    <w:name w:val="footnote reference"/>
    <w:basedOn w:val="Policepardfaut"/>
    <w:uiPriority w:val="99"/>
    <w:semiHidden/>
    <w:unhideWhenUsed/>
    <w:rsid w:val="00B010EA"/>
    <w:rPr>
      <w:vertAlign w:val="superscript"/>
    </w:rPr>
  </w:style>
  <w:style w:type="table" w:styleId="Grilledutableau">
    <w:name w:val="Table Grid"/>
    <w:basedOn w:val="TableauNormal"/>
    <w:uiPriority w:val="59"/>
    <w:rsid w:val="00B01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010EA"/>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010EA"/>
    <w:pPr>
      <w:tabs>
        <w:tab w:val="center" w:pos="4320"/>
        <w:tab w:val="right" w:pos="8640"/>
      </w:tabs>
    </w:pPr>
  </w:style>
  <w:style w:type="character" w:customStyle="1" w:styleId="En-tteCar">
    <w:name w:val="En-tête Car"/>
    <w:basedOn w:val="Policepardfaut"/>
    <w:link w:val="En-tte"/>
    <w:uiPriority w:val="99"/>
    <w:rsid w:val="00B010EA"/>
    <w:rPr>
      <w:rFonts w:ascii="Arial" w:hAnsi="Arial"/>
      <w:sz w:val="24"/>
    </w:rPr>
  </w:style>
  <w:style w:type="paragraph" w:styleId="Pieddepage">
    <w:name w:val="footer"/>
    <w:basedOn w:val="Normal"/>
    <w:link w:val="PieddepageCar"/>
    <w:uiPriority w:val="99"/>
    <w:unhideWhenUsed/>
    <w:rsid w:val="00B010EA"/>
    <w:pPr>
      <w:tabs>
        <w:tab w:val="center" w:pos="4320"/>
        <w:tab w:val="right" w:pos="8640"/>
      </w:tabs>
    </w:pPr>
  </w:style>
  <w:style w:type="character" w:customStyle="1" w:styleId="PieddepageCar">
    <w:name w:val="Pied de page Car"/>
    <w:basedOn w:val="Policepardfaut"/>
    <w:link w:val="Pieddepage"/>
    <w:uiPriority w:val="99"/>
    <w:rsid w:val="00B010EA"/>
    <w:rPr>
      <w:rFonts w:ascii="Arial" w:hAnsi="Arial"/>
      <w:sz w:val="24"/>
    </w:rPr>
  </w:style>
  <w:style w:type="character" w:styleId="Marquedecommentaire">
    <w:name w:val="annotation reference"/>
    <w:basedOn w:val="Policepardfaut"/>
    <w:uiPriority w:val="99"/>
    <w:semiHidden/>
    <w:unhideWhenUsed/>
    <w:rsid w:val="009963F8"/>
    <w:rPr>
      <w:sz w:val="16"/>
      <w:szCs w:val="16"/>
    </w:rPr>
  </w:style>
  <w:style w:type="paragraph" w:styleId="Commentaire">
    <w:name w:val="annotation text"/>
    <w:basedOn w:val="Normal"/>
    <w:link w:val="CommentaireCar"/>
    <w:uiPriority w:val="99"/>
    <w:semiHidden/>
    <w:unhideWhenUsed/>
    <w:rsid w:val="009963F8"/>
    <w:rPr>
      <w:sz w:val="20"/>
      <w:szCs w:val="20"/>
    </w:rPr>
  </w:style>
  <w:style w:type="character" w:customStyle="1" w:styleId="CommentaireCar">
    <w:name w:val="Commentaire Car"/>
    <w:basedOn w:val="Policepardfaut"/>
    <w:link w:val="Commentaire"/>
    <w:uiPriority w:val="99"/>
    <w:semiHidden/>
    <w:rsid w:val="009963F8"/>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9963F8"/>
    <w:rPr>
      <w:b/>
      <w:bCs/>
    </w:rPr>
  </w:style>
  <w:style w:type="character" w:customStyle="1" w:styleId="ObjetducommentaireCar">
    <w:name w:val="Objet du commentaire Car"/>
    <w:basedOn w:val="CommentaireCar"/>
    <w:link w:val="Objetducommentaire"/>
    <w:uiPriority w:val="99"/>
    <w:semiHidden/>
    <w:rsid w:val="009963F8"/>
    <w:rPr>
      <w:rFonts w:ascii="Arial" w:hAnsi="Arial"/>
      <w:b/>
      <w:bCs/>
      <w:sz w:val="20"/>
      <w:szCs w:val="20"/>
    </w:rPr>
  </w:style>
  <w:style w:type="paragraph" w:styleId="Textedebulles">
    <w:name w:val="Balloon Text"/>
    <w:basedOn w:val="Normal"/>
    <w:link w:val="TextedebullesCar"/>
    <w:uiPriority w:val="99"/>
    <w:semiHidden/>
    <w:unhideWhenUsed/>
    <w:rsid w:val="009963F8"/>
    <w:rPr>
      <w:rFonts w:ascii="Tahoma" w:hAnsi="Tahoma" w:cs="Tahoma"/>
      <w:sz w:val="16"/>
      <w:szCs w:val="16"/>
    </w:rPr>
  </w:style>
  <w:style w:type="character" w:customStyle="1" w:styleId="TextedebullesCar">
    <w:name w:val="Texte de bulles Car"/>
    <w:basedOn w:val="Policepardfaut"/>
    <w:link w:val="Textedebulles"/>
    <w:uiPriority w:val="99"/>
    <w:semiHidden/>
    <w:rsid w:val="009963F8"/>
    <w:rPr>
      <w:rFonts w:ascii="Tahoma" w:hAnsi="Tahoma" w:cs="Tahoma"/>
      <w:sz w:val="16"/>
      <w:szCs w:val="16"/>
    </w:rPr>
  </w:style>
  <w:style w:type="character" w:styleId="Lienhypertextesuivivisit">
    <w:name w:val="FollowedHyperlink"/>
    <w:basedOn w:val="Policepardfaut"/>
    <w:uiPriority w:val="99"/>
    <w:semiHidden/>
    <w:unhideWhenUsed/>
    <w:rsid w:val="00646749"/>
    <w:rPr>
      <w:color w:val="800080" w:themeColor="followedHyperlink"/>
      <w:u w:val="single"/>
    </w:rPr>
  </w:style>
  <w:style w:type="table" w:customStyle="1" w:styleId="Grilledutableau11">
    <w:name w:val="Grille du tableau11"/>
    <w:basedOn w:val="TableauNormal"/>
    <w:next w:val="Grilledutableau"/>
    <w:uiPriority w:val="59"/>
    <w:rsid w:val="00EB259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59"/>
    <w:rsid w:val="00F32F3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D5040"/>
    <w:pPr>
      <w:ind w:left="720"/>
      <w:contextualSpacing/>
    </w:pPr>
  </w:style>
  <w:style w:type="table" w:customStyle="1" w:styleId="Grilledutableau13">
    <w:name w:val="Grille du tableau13"/>
    <w:basedOn w:val="TableauNormal"/>
    <w:next w:val="Grilledutableau"/>
    <w:uiPriority w:val="59"/>
    <w:rsid w:val="00910C2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
    <w:name w:val="Grille du tableau14"/>
    <w:basedOn w:val="TableauNormal"/>
    <w:next w:val="Grilledutableau"/>
    <w:uiPriority w:val="59"/>
    <w:rsid w:val="002B591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
    <w:name w:val="Grille du tableau15"/>
    <w:basedOn w:val="TableauNormal"/>
    <w:next w:val="Grilledutableau"/>
    <w:uiPriority w:val="59"/>
    <w:rsid w:val="002B591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auNormal"/>
    <w:next w:val="Grilledutableau"/>
    <w:uiPriority w:val="59"/>
    <w:rsid w:val="00962F7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auNormal"/>
    <w:next w:val="Grilledutableau"/>
    <w:uiPriority w:val="59"/>
    <w:rsid w:val="00962F7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B719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apyrus.bib.umontreal.ca/xmlui/bitstream/handle/1866/4955/Makhouf-Shabou_Basma_2011_these.pdf?sequence=5&amp;isAllowed=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quebec.gouv.qc.ca/fr/ShowDoc/cs/A-21.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quebec.gouv.qc.ca/fr/ShowDoc/cs/C-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bel.uqtr.ca/1239/1/6-19-681-20060117-1.pdf" TargetMode="External"/><Relationship Id="rId4" Type="http://schemas.openxmlformats.org/officeDocument/2006/relationships/settings" Target="settings.xml"/><Relationship Id="rId9" Type="http://schemas.openxmlformats.org/officeDocument/2006/relationships/hyperlink" Target="http://www.gdcr.umontreal.ca/documents/Durand_Guy.pdf" TargetMode="External"/><Relationship Id="rId14" Type="http://schemas.openxmlformats.org/officeDocument/2006/relationships/hyperlink" Target="https://mcc.gouv.qc.ca/fileadmin/documents/Politique_culturelle/Partoutlaculture_Polculturelle_Web.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apyrus.bib.umontreal.ca/xmlui/handle/1866/4955" TargetMode="External"/><Relationship Id="rId1" Type="http://schemas.openxmlformats.org/officeDocument/2006/relationships/hyperlink" Target="http://www.banq.qc.ca/documents/archives/archivistique_ged/publications/Chapitre_tri_archive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1289-C314-4396-BD8C-7003D44A1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3029</Words>
  <Characters>16665</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BAnQ</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François</dc:creator>
  <cp:lastModifiedBy>David, François</cp:lastModifiedBy>
  <cp:revision>2</cp:revision>
  <cp:lastPrinted>2019-05-21T15:26:00Z</cp:lastPrinted>
  <dcterms:created xsi:type="dcterms:W3CDTF">2022-10-28T21:58:00Z</dcterms:created>
  <dcterms:modified xsi:type="dcterms:W3CDTF">2022-10-28T21:58:00Z</dcterms:modified>
</cp:coreProperties>
</file>